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8428C">
      <w:pPr>
        <w:rPr>
          <w:color w:val="auto"/>
        </w:rPr>
      </w:pPr>
    </w:p>
    <w:p w14:paraId="0DF82320">
      <w:pPr>
        <w:rPr>
          <w:color w:val="auto"/>
        </w:rPr>
      </w:pPr>
    </w:p>
    <w:p w14:paraId="758F429A">
      <w:pPr>
        <w:spacing w:after="12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60"/>
        </w:rPr>
        <w:t>青“廉”筑梦</w:t>
      </w:r>
    </w:p>
    <w:p w14:paraId="1F10EE68">
      <w:pPr>
        <w:spacing w:after="800"/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5"/>
        </w:rPr>
        <w:t>——基于廉洁教育馆的大学生廉洁品格全周期涵养体系构建与实践</w:t>
      </w:r>
    </w:p>
    <w:p w14:paraId="098EB922">
      <w:pPr>
        <w:spacing w:after="12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阶段任务完成情况报告</w:t>
      </w:r>
    </w:p>
    <w:p w14:paraId="6409AE40">
      <w:pPr>
        <w:spacing w:after="1000"/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（数字平台建设专项）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71626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00D171A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3"/>
              </w:rPr>
              <w:t>项目类别</w:t>
            </w:r>
          </w:p>
        </w:tc>
        <w:tc>
          <w:tcPr>
            <w:tcW w:w="4876" w:type="dxa"/>
          </w:tcPr>
          <w:p w14:paraId="404337C3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3"/>
              </w:rPr>
              <w:t>大学生创新创业训练计划项目</w:t>
            </w:r>
          </w:p>
        </w:tc>
      </w:tr>
      <w:tr w14:paraId="0302D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26CF923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3"/>
              </w:rPr>
              <w:t>项目负责人</w:t>
            </w:r>
          </w:p>
        </w:tc>
        <w:tc>
          <w:tcPr>
            <w:tcW w:w="4876" w:type="dxa"/>
          </w:tcPr>
          <w:p w14:paraId="538879D1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3"/>
              </w:rPr>
              <w:t>苏重天</w:t>
            </w:r>
          </w:p>
        </w:tc>
      </w:tr>
      <w:tr w14:paraId="1D31F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559C7DB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3"/>
              </w:rPr>
              <w:t>团队成员</w:t>
            </w:r>
          </w:p>
        </w:tc>
        <w:tc>
          <w:tcPr>
            <w:tcW w:w="4876" w:type="dxa"/>
          </w:tcPr>
          <w:p w14:paraId="2344EABE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3"/>
              </w:rPr>
              <w:t>余伯俊</w:t>
            </w:r>
            <w:r>
              <w:rPr>
                <w:rFonts w:hint="eastAsia" w:ascii="宋体" w:hAnsi="宋体" w:eastAsia="宋体"/>
                <w:b w:val="0"/>
                <w:color w:val="auto"/>
                <w:sz w:val="23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  <w:b w:val="0"/>
                <w:color w:val="auto"/>
                <w:sz w:val="23"/>
              </w:rPr>
              <w:t>孟泽通</w:t>
            </w:r>
            <w:r>
              <w:rPr>
                <w:rFonts w:hint="eastAsia" w:ascii="宋体" w:hAnsi="宋体" w:eastAsia="宋体"/>
                <w:b w:val="0"/>
                <w:color w:val="auto"/>
                <w:sz w:val="23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  <w:b w:val="0"/>
                <w:color w:val="auto"/>
                <w:sz w:val="23"/>
              </w:rPr>
              <w:t>洪雨蝶</w:t>
            </w:r>
            <w:r>
              <w:rPr>
                <w:rFonts w:hint="eastAsia" w:ascii="宋体" w:hAnsi="宋体" w:eastAsia="宋体"/>
                <w:b w:val="0"/>
                <w:color w:val="auto"/>
                <w:sz w:val="23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  <w:b w:val="0"/>
                <w:color w:val="auto"/>
                <w:sz w:val="23"/>
              </w:rPr>
              <w:t>陈承鑫</w:t>
            </w:r>
          </w:p>
        </w:tc>
      </w:tr>
      <w:tr w14:paraId="37CCC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820933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3"/>
              </w:rPr>
              <w:t>指导教师</w:t>
            </w:r>
          </w:p>
        </w:tc>
        <w:tc>
          <w:tcPr>
            <w:tcW w:w="4876" w:type="dxa"/>
          </w:tcPr>
          <w:p w14:paraId="64D5126F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3"/>
              </w:rPr>
              <w:t>孔志强</w:t>
            </w:r>
          </w:p>
        </w:tc>
      </w:tr>
      <w:tr w14:paraId="57B06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0C90BA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3"/>
              </w:rPr>
              <w:t>执行周期</w:t>
            </w:r>
          </w:p>
        </w:tc>
        <w:tc>
          <w:tcPr>
            <w:tcW w:w="4876" w:type="dxa"/>
          </w:tcPr>
          <w:p w14:paraId="35F43F0C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3"/>
              </w:rPr>
              <w:t>2026 年 8 月 — 2027 年 3 月</w:t>
            </w:r>
          </w:p>
        </w:tc>
      </w:tr>
      <w:tr w14:paraId="42566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6629069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3"/>
              </w:rPr>
              <w:t>报告日期</w:t>
            </w:r>
          </w:p>
        </w:tc>
        <w:tc>
          <w:tcPr>
            <w:tcW w:w="4876" w:type="dxa"/>
          </w:tcPr>
          <w:p w14:paraId="28D3C6BA">
            <w:pPr>
              <w:spacing w:after="120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3"/>
              </w:rPr>
              <w:t>2026 年 10 月</w:t>
            </w:r>
          </w:p>
        </w:tc>
      </w:tr>
    </w:tbl>
    <w:p w14:paraId="7D0F586D">
      <w:pPr>
        <w:spacing w:before="180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中南大学</w:t>
      </w:r>
    </w:p>
    <w:p w14:paraId="0B3465A2">
      <w:pPr>
        <w:spacing w:before="160"/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2"/>
        </w:rPr>
        <w:t>2026 年 10 月</w:t>
      </w:r>
    </w:p>
    <w:p w14:paraId="1A687AF1">
      <w:pPr>
        <w:rPr>
          <w:color w:val="auto"/>
        </w:rPr>
      </w:pPr>
      <w:r>
        <w:rPr>
          <w:color w:val="auto"/>
        </w:rPr>
        <w:br w:type="page"/>
      </w:r>
    </w:p>
    <w:p w14:paraId="4640619D">
      <w:pPr>
        <w:spacing w:before="32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30"/>
        </w:rPr>
        <w:t>一、任务来源与目标</w:t>
      </w:r>
    </w:p>
    <w:p w14:paraId="17D787C7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项目确立“四维九廉”育人体系，包含九项任务、五个执行阶段。其中“数字科技助廉”明确要求：建设可追溯知识库、开发问答与智能体原型、形成青年化数字内容。本报告即为该项任务的阶段性交付，同时为其余八项“廉”提供统一的内容出口。</w:t>
      </w:r>
    </w:p>
    <w:p w14:paraId="511AFD51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任务启动前，所有设计都停留在 Word 文档里：材料可以打印、可以汇报，却无法被学生自主使用，也无法在廉洁教育馆现场被访客触达。</w:t>
      </w:r>
    </w:p>
    <w:p w14:paraId="6B701381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因此本阶段的目标被限定得非常具体：把分散在《学生执行计划》与《情景实训实施材料汇编》中的内容，转化成一个任何人都能打开、现场设备能稳定运行、后续成员能持续更新的数字入口。换言之，不是“做一个网页”，而是让九廉的工作成果具备被看见、被使用、被核查的形态。</w:t>
      </w:r>
    </w:p>
    <w:p w14:paraId="4ED8122E">
      <w:pPr>
        <w:spacing w:before="32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30"/>
        </w:rPr>
        <w:t>二、建设过程中克服的主要问题</w:t>
      </w:r>
    </w:p>
    <w:p w14:paraId="7923B02D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建设过程并非一次成型。受经费、场地网络、平台政策与设备条件限制，团队共遇到六类实质障碍，每一类都经过方案比选后才确定路径，现按发生顺序归纳如下。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814"/>
        <w:gridCol w:w="3061"/>
        <w:gridCol w:w="3231"/>
      </w:tblGrid>
      <w:tr w14:paraId="62D6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0F4B42"/>
          </w:tcPr>
          <w:p w14:paraId="35867C1D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序号</w:t>
            </w:r>
          </w:p>
        </w:tc>
        <w:tc>
          <w:tcPr>
            <w:tcW w:w="1814" w:type="dxa"/>
            <w:shd w:val="clear" w:color="auto" w:fill="0F4B42"/>
          </w:tcPr>
          <w:p w14:paraId="53C519EE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遇到的问题</w:t>
            </w:r>
          </w:p>
        </w:tc>
        <w:tc>
          <w:tcPr>
            <w:tcW w:w="3061" w:type="dxa"/>
            <w:shd w:val="clear" w:color="auto" w:fill="0F4B42"/>
          </w:tcPr>
          <w:p w14:paraId="61EE7894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具体表现</w:t>
            </w:r>
          </w:p>
        </w:tc>
        <w:tc>
          <w:tcPr>
            <w:tcW w:w="3231" w:type="dxa"/>
            <w:shd w:val="clear" w:color="auto" w:fill="0F4B42"/>
          </w:tcPr>
          <w:p w14:paraId="6C385762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解决方式</w:t>
            </w:r>
          </w:p>
        </w:tc>
      </w:tr>
      <w:tr w14:paraId="7CA8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632A87A5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1</w:t>
            </w:r>
          </w:p>
        </w:tc>
        <w:tc>
          <w:tcPr>
            <w:tcW w:w="1814" w:type="dxa"/>
          </w:tcPr>
          <w:p w14:paraId="390628B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经费有限、无服务器</w:t>
            </w:r>
          </w:p>
        </w:tc>
        <w:tc>
          <w:tcPr>
            <w:tcW w:w="3061" w:type="dxa"/>
          </w:tcPr>
          <w:p w14:paraId="42B60D85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无云主机、无域名、无备案条件，传统建站方案不可行</w:t>
            </w:r>
          </w:p>
        </w:tc>
        <w:tc>
          <w:tcPr>
            <w:tcW w:w="3231" w:type="dxa"/>
          </w:tcPr>
          <w:p w14:paraId="7D70D7C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采用纯静态架构：9 个文件、约 160 KB，仅 HTML/CSS/JS，不依赖数据库与后端，服务器成本为零</w:t>
            </w:r>
          </w:p>
        </w:tc>
      </w:tr>
      <w:tr w14:paraId="36F0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2D2F5E75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2</w:t>
            </w:r>
          </w:p>
        </w:tc>
        <w:tc>
          <w:tcPr>
            <w:tcW w:w="1814" w:type="dxa"/>
          </w:tcPr>
          <w:p w14:paraId="396E1D12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临时地址时效过短</w:t>
            </w:r>
          </w:p>
        </w:tc>
        <w:tc>
          <w:tcPr>
            <w:tcW w:w="3061" w:type="dxa"/>
          </w:tcPr>
          <w:p w14:paraId="28DB62A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早期用内网穿透生成的公网地址在数小时内即失效，二维码随之作废</w:t>
            </w:r>
          </w:p>
        </w:tc>
        <w:tc>
          <w:tcPr>
            <w:tcW w:w="3231" w:type="dxa"/>
          </w:tcPr>
          <w:p w14:paraId="373D81E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改用平台级静态托管：地址固定、免费、无需续费；二维码重新生成并解码校验</w:t>
            </w:r>
          </w:p>
        </w:tc>
      </w:tr>
      <w:tr w14:paraId="1E68C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05BD8B32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3</w:t>
            </w:r>
          </w:p>
        </w:tc>
        <w:tc>
          <w:tcPr>
            <w:tcW w:w="1814" w:type="dxa"/>
          </w:tcPr>
          <w:p w14:paraId="39CDC87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平台方案试错</w:t>
            </w:r>
          </w:p>
        </w:tc>
        <w:tc>
          <w:tcPr>
            <w:tcW w:w="3061" w:type="dxa"/>
          </w:tcPr>
          <w:p w14:paraId="7EF45B1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首选平台经登录态访问、菜单逐项核对、设置页全文检索三重验证，确认其已不提供该服务</w:t>
            </w:r>
          </w:p>
        </w:tc>
        <w:tc>
          <w:tcPr>
            <w:tcW w:w="3231" w:type="dxa"/>
          </w:tcPr>
          <w:p w14:paraId="2C1B9C40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及时止损并切换方案，避免在不可用平台上继续投入</w:t>
            </w:r>
          </w:p>
        </w:tc>
      </w:tr>
      <w:tr w14:paraId="08160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13C27313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4</w:t>
            </w:r>
          </w:p>
        </w:tc>
        <w:tc>
          <w:tcPr>
            <w:tcW w:w="1814" w:type="dxa"/>
          </w:tcPr>
          <w:p w14:paraId="025B97DA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场馆网络不可控</w:t>
            </w:r>
          </w:p>
        </w:tc>
        <w:tc>
          <w:tcPr>
            <w:tcW w:w="3061" w:type="dxa"/>
          </w:tcPr>
          <w:p w14:paraId="31DF8BA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教育馆网络存在认证与限速，公网方案在现场可能不可用</w:t>
            </w:r>
          </w:p>
        </w:tc>
        <w:tc>
          <w:tcPr>
            <w:tcW w:w="3231" w:type="dxa"/>
          </w:tcPr>
          <w:p w14:paraId="306E1493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增设“导览机模式”：网站可直接读取本地文件，断网照常运行，与公网版本同源</w:t>
            </w:r>
          </w:p>
        </w:tc>
      </w:tr>
      <w:tr w14:paraId="2319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192332C4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5</w:t>
            </w:r>
          </w:p>
        </w:tc>
        <w:tc>
          <w:tcPr>
            <w:tcW w:w="1814" w:type="dxa"/>
          </w:tcPr>
          <w:p w14:paraId="5FDE3CFC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访客会误操作设备</w:t>
            </w:r>
          </w:p>
        </w:tc>
        <w:tc>
          <w:tcPr>
            <w:tcW w:w="3061" w:type="dxa"/>
          </w:tcPr>
          <w:p w14:paraId="5676F50E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触摸屏前无人值守，访客可能关闭窗口或停留在任意页面</w:t>
            </w:r>
          </w:p>
        </w:tc>
        <w:tc>
          <w:tcPr>
            <w:tcW w:w="3231" w:type="dxa"/>
          </w:tcPr>
          <w:p w14:paraId="44066734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全屏锁定、关闭后自动重启、闲置 150 秒自动回到欢迎页、隐藏手势加密码退出</w:t>
            </w:r>
          </w:p>
        </w:tc>
      </w:tr>
      <w:tr w14:paraId="36D9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36622EE3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6</w:t>
            </w:r>
          </w:p>
        </w:tc>
        <w:tc>
          <w:tcPr>
            <w:tcW w:w="1814" w:type="dxa"/>
          </w:tcPr>
          <w:p w14:paraId="036F423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材料无法检索复用</w:t>
            </w:r>
          </w:p>
        </w:tc>
        <w:tc>
          <w:tcPr>
            <w:tcW w:w="3061" w:type="dxa"/>
          </w:tcPr>
          <w:p w14:paraId="696FFB1B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两份 Word 共 400 余段、22 张表，内容彼此割裂，现场无法按需查找</w:t>
            </w:r>
          </w:p>
        </w:tc>
        <w:tc>
          <w:tcPr>
            <w:tcW w:w="3231" w:type="dxa"/>
          </w:tcPr>
          <w:p w14:paraId="4179B951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重构为结构化知识库，按四维九廉分类，并为每条知识标注出处，供检索与问答调用</w:t>
            </w:r>
          </w:p>
        </w:tc>
      </w:tr>
    </w:tbl>
    <w:p w14:paraId="6974781E">
      <w:pPr>
        <w:spacing w:before="32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30"/>
        </w:rPr>
        <w:t>三、当前进展</w:t>
      </w:r>
    </w:p>
    <w:p w14:paraId="3BE4F7C1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（一）网站已上线并稳定运行</w:t>
      </w:r>
    </w:p>
    <w:p w14:paraId="23CBFF53">
      <w:pPr>
        <w:spacing w:before="0" w:after="8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站点已部署至公网，浏览器输入地址即可访问，无需安装、无需登录、无需付费：</w:t>
      </w:r>
    </w:p>
    <w:p w14:paraId="3B491D13">
      <w:pPr>
        <w:spacing w:after="160"/>
        <w:jc w:val="center"/>
        <w:rPr>
          <w:color w:val="auto"/>
        </w:rPr>
      </w:pPr>
      <w:r>
        <w:rPr>
          <w:rFonts w:ascii="Consolas" w:hAnsi="Consolas" w:eastAsia="Consolas"/>
          <w:b/>
          <w:color w:val="auto"/>
          <w:sz w:val="22"/>
        </w:rPr>
        <w:t>https://ybjcsu0429.github.io/qinglian-site/</w:t>
      </w:r>
    </w:p>
    <w:p w14:paraId="643D1F6B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全站设七个栏目，内容全部由项目材料改写，而非外部转载。主要交付物如下：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94"/>
        <w:gridCol w:w="4762"/>
      </w:tblGrid>
      <w:tr w14:paraId="3B9C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0F4B42"/>
          </w:tcPr>
          <w:p w14:paraId="13B772FC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类别</w:t>
            </w:r>
          </w:p>
        </w:tc>
        <w:tc>
          <w:tcPr>
            <w:tcW w:w="2494" w:type="dxa"/>
            <w:shd w:val="clear" w:color="auto" w:fill="0F4B42"/>
          </w:tcPr>
          <w:p w14:paraId="62B63699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交付物</w:t>
            </w:r>
          </w:p>
        </w:tc>
        <w:tc>
          <w:tcPr>
            <w:tcW w:w="4762" w:type="dxa"/>
            <w:shd w:val="clear" w:color="auto" w:fill="0F4B42"/>
          </w:tcPr>
          <w:p w14:paraId="6DE41401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数量 / 说明</w:t>
            </w:r>
          </w:p>
        </w:tc>
      </w:tr>
      <w:tr w14:paraId="194F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AEBE065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网站</w:t>
            </w:r>
          </w:p>
        </w:tc>
        <w:tc>
          <w:tcPr>
            <w:tcW w:w="2494" w:type="dxa"/>
          </w:tcPr>
          <w:p w14:paraId="1889F779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栏目</w:t>
            </w:r>
          </w:p>
        </w:tc>
        <w:tc>
          <w:tcPr>
            <w:tcW w:w="4762" w:type="dxa"/>
          </w:tcPr>
          <w:p w14:paraId="44A5BF94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7 个（首页、知识库、人物事迹、情景实训、法规制度、廉洁AI、关于项目）</w:t>
            </w:r>
          </w:p>
        </w:tc>
      </w:tr>
      <w:tr w14:paraId="152F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EE46643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内容</w:t>
            </w:r>
          </w:p>
        </w:tc>
        <w:tc>
          <w:tcPr>
            <w:tcW w:w="2494" w:type="dxa"/>
          </w:tcPr>
          <w:p w14:paraId="295C01E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专题文章</w:t>
            </w:r>
          </w:p>
        </w:tc>
        <w:tc>
          <w:tcPr>
            <w:tcW w:w="4762" w:type="dxa"/>
          </w:tcPr>
          <w:p w14:paraId="3286A50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12 篇，其中 9 篇分别对应九廉任务，3 篇为通用知识</w:t>
            </w:r>
          </w:p>
        </w:tc>
      </w:tr>
      <w:tr w14:paraId="0804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A56217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内容</w:t>
            </w:r>
          </w:p>
        </w:tc>
        <w:tc>
          <w:tcPr>
            <w:tcW w:w="2494" w:type="dxa"/>
          </w:tcPr>
          <w:p w14:paraId="737709B3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人物事迹</w:t>
            </w:r>
          </w:p>
        </w:tc>
        <w:tc>
          <w:tcPr>
            <w:tcW w:w="4762" w:type="dxa"/>
          </w:tcPr>
          <w:p w14:paraId="70D4F318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8 位，含古代廉吏、革命传统、时代楷模与湘雅先贤</w:t>
            </w:r>
          </w:p>
        </w:tc>
      </w:tr>
      <w:tr w14:paraId="2E2B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BB7164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内容</w:t>
            </w:r>
          </w:p>
        </w:tc>
        <w:tc>
          <w:tcPr>
            <w:tcW w:w="2494" w:type="dxa"/>
          </w:tcPr>
          <w:p w14:paraId="507DDD74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情景脚本</w:t>
            </w:r>
          </w:p>
        </w:tc>
        <w:tc>
          <w:tcPr>
            <w:tcW w:w="4762" w:type="dxa"/>
          </w:tcPr>
          <w:p w14:paraId="37B67C69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3 套，共 9 个决策点，每个选项给出直接后果与深层影响</w:t>
            </w:r>
          </w:p>
        </w:tc>
      </w:tr>
      <w:tr w14:paraId="13C4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47B9E07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内容</w:t>
            </w:r>
          </w:p>
        </w:tc>
        <w:tc>
          <w:tcPr>
            <w:tcW w:w="2494" w:type="dxa"/>
          </w:tcPr>
          <w:p w14:paraId="6DDE8160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法规制度摘要</w:t>
            </w:r>
          </w:p>
        </w:tc>
        <w:tc>
          <w:tcPr>
            <w:tcW w:w="4762" w:type="dxa"/>
          </w:tcPr>
          <w:p w14:paraId="24DB104B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10 部，逐条列出要点与适用对象</w:t>
            </w:r>
          </w:p>
        </w:tc>
      </w:tr>
      <w:tr w14:paraId="1915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6AA413A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数字产品</w:t>
            </w:r>
          </w:p>
        </w:tc>
        <w:tc>
          <w:tcPr>
            <w:tcW w:w="2494" w:type="dxa"/>
          </w:tcPr>
          <w:p w14:paraId="4E928F1C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廉洁AI 知识条目</w:t>
            </w:r>
          </w:p>
        </w:tc>
        <w:tc>
          <w:tcPr>
            <w:tcW w:w="4762" w:type="dxa"/>
          </w:tcPr>
          <w:p w14:paraId="75AA4307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51 条，每条标注出处，检索式问答</w:t>
            </w:r>
          </w:p>
        </w:tc>
      </w:tr>
      <w:tr w14:paraId="7DB3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700210C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运行</w:t>
            </w:r>
          </w:p>
        </w:tc>
        <w:tc>
          <w:tcPr>
            <w:tcW w:w="2494" w:type="dxa"/>
          </w:tcPr>
          <w:p w14:paraId="2BDD6B4B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导览机模式</w:t>
            </w:r>
          </w:p>
        </w:tc>
        <w:tc>
          <w:tcPr>
            <w:tcW w:w="4762" w:type="dxa"/>
          </w:tcPr>
          <w:p w14:paraId="3F485160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1 套，含开机自启、防退出、闲置归位</w:t>
            </w:r>
          </w:p>
        </w:tc>
      </w:tr>
      <w:tr w14:paraId="7590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D12606A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物料</w:t>
            </w:r>
          </w:p>
        </w:tc>
        <w:tc>
          <w:tcPr>
            <w:tcW w:w="2494" w:type="dxa"/>
          </w:tcPr>
          <w:p w14:paraId="26BA2A69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二维码与 A5 立牌</w:t>
            </w:r>
          </w:p>
        </w:tc>
        <w:tc>
          <w:tcPr>
            <w:tcW w:w="4762" w:type="dxa"/>
          </w:tcPr>
          <w:p w14:paraId="04A34377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各 1 份，二维码经解码验证</w:t>
            </w:r>
          </w:p>
        </w:tc>
      </w:tr>
      <w:tr w14:paraId="7AC2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C3068C1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访问</w:t>
            </w:r>
          </w:p>
        </w:tc>
        <w:tc>
          <w:tcPr>
            <w:tcW w:w="2494" w:type="dxa"/>
          </w:tcPr>
          <w:p w14:paraId="4D33942F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线上地址</w:t>
            </w:r>
          </w:p>
        </w:tc>
        <w:tc>
          <w:tcPr>
            <w:tcW w:w="4762" w:type="dxa"/>
          </w:tcPr>
          <w:p w14:paraId="255AAE20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1 个，永久有效、免费</w:t>
            </w:r>
          </w:p>
        </w:tc>
      </w:tr>
    </w:tbl>
    <w:p w14:paraId="536E2023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（二）廉洁AI 采用“检索而非生成”的技术路线</w:t>
      </w:r>
    </w:p>
    <w:p w14:paraId="2105EBB3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考虑到廉洁领域对错误信息的容忍度极低，问答模块被有意限制为检索式：系统只在知识库中匹配最相关条目，并同时呈现出处，不进行自由生成。这一取舍牺牲了“聪明感”，换取了每一句回答都可被追溯、可被质疑。在任何一条回答中，使用者都能点回对应的制度原文或情景脚本。</w:t>
      </w:r>
    </w:p>
    <w:p w14:paraId="12FB39B4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（三）导览机模式解决了现场可用性</w:t>
      </w:r>
    </w:p>
    <w:p w14:paraId="63B6B08C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针对教育馆的触摸屏设备，另行开发了本地导览模式：开机自动全屏进入、关闭后自动重启、150 秒无操作自动返回欢迎页、左上角连点五次并输入密码方可退出。该模式直接读取本地文件，不依赖网络，也不依赖项目组成员在场操作。三种运行环境的关系如下：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721"/>
        <w:gridCol w:w="1928"/>
        <w:gridCol w:w="1701"/>
      </w:tblGrid>
      <w:tr w14:paraId="1FDF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0F4B42"/>
          </w:tcPr>
          <w:p w14:paraId="52CD4192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使用场景</w:t>
            </w:r>
          </w:p>
        </w:tc>
        <w:tc>
          <w:tcPr>
            <w:tcW w:w="2721" w:type="dxa"/>
            <w:shd w:val="clear" w:color="auto" w:fill="0F4B42"/>
          </w:tcPr>
          <w:p w14:paraId="5FB88918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访问方式</w:t>
            </w:r>
          </w:p>
        </w:tc>
        <w:tc>
          <w:tcPr>
            <w:tcW w:w="1928" w:type="dxa"/>
            <w:shd w:val="clear" w:color="auto" w:fill="0F4B42"/>
          </w:tcPr>
          <w:p w14:paraId="1544B1BD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网络依赖</w:t>
            </w:r>
          </w:p>
        </w:tc>
        <w:tc>
          <w:tcPr>
            <w:tcW w:w="1701" w:type="dxa"/>
            <w:shd w:val="clear" w:color="auto" w:fill="0F4B42"/>
          </w:tcPr>
          <w:p w14:paraId="6295719A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9"/>
              </w:rPr>
              <w:t>维护方式</w:t>
            </w:r>
          </w:p>
        </w:tc>
      </w:tr>
      <w:tr w14:paraId="206E0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20385B4B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馆内触摸屏</w:t>
            </w:r>
          </w:p>
        </w:tc>
        <w:tc>
          <w:tcPr>
            <w:tcW w:w="2721" w:type="dxa"/>
          </w:tcPr>
          <w:p w14:paraId="7524AF35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读取本地文件，全屏导览</w:t>
            </w:r>
          </w:p>
        </w:tc>
        <w:tc>
          <w:tcPr>
            <w:tcW w:w="1928" w:type="dxa"/>
          </w:tcPr>
          <w:p w14:paraId="576955FF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不依赖，可断网</w:t>
            </w:r>
          </w:p>
        </w:tc>
        <w:tc>
          <w:tcPr>
            <w:tcW w:w="1701" w:type="dxa"/>
          </w:tcPr>
          <w:p w14:paraId="7CE72E08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拷贝文件夹，双击启动脚本</w:t>
            </w:r>
          </w:p>
        </w:tc>
      </w:tr>
      <w:tr w14:paraId="0B75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0007DF11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学生手机</w:t>
            </w:r>
          </w:p>
        </w:tc>
        <w:tc>
          <w:tcPr>
            <w:tcW w:w="2721" w:type="dxa"/>
          </w:tcPr>
          <w:p w14:paraId="2F3341C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扫码访问公网地址</w:t>
            </w:r>
          </w:p>
        </w:tc>
        <w:tc>
          <w:tcPr>
            <w:tcW w:w="1928" w:type="dxa"/>
          </w:tcPr>
          <w:p w14:paraId="62B8A9B9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依赖移动网络</w:t>
            </w:r>
          </w:p>
        </w:tc>
        <w:tc>
          <w:tcPr>
            <w:tcW w:w="1701" w:type="dxa"/>
          </w:tcPr>
          <w:p w14:paraId="13CED588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自动同步，无需操作</w:t>
            </w:r>
          </w:p>
        </w:tc>
      </w:tr>
      <w:tr w14:paraId="3232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1C900D2E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电脑 / 投影演示</w:t>
            </w:r>
          </w:p>
        </w:tc>
        <w:tc>
          <w:tcPr>
            <w:tcW w:w="2721" w:type="dxa"/>
          </w:tcPr>
          <w:p w14:paraId="4329AA8C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浏览器打开同一地址</w:t>
            </w:r>
          </w:p>
        </w:tc>
        <w:tc>
          <w:tcPr>
            <w:tcW w:w="1928" w:type="dxa"/>
          </w:tcPr>
          <w:p w14:paraId="57CEEE1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依赖网络</w:t>
            </w:r>
          </w:p>
        </w:tc>
        <w:tc>
          <w:tcPr>
            <w:tcW w:w="1701" w:type="dxa"/>
          </w:tcPr>
          <w:p w14:paraId="0169108A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9"/>
              </w:rPr>
              <w:t>同上</w:t>
            </w:r>
          </w:p>
        </w:tc>
      </w:tr>
    </w:tbl>
    <w:p w14:paraId="6A8C8F9A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（四）二维码与展示物料已同步</w:t>
      </w:r>
    </w:p>
    <w:p w14:paraId="4DCC3B30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配套生成 A5 展示立牌与独立二维码，立牌底部印制网址以便现场核对版本。二维码生成后均经解码器验证，确认其指向当前正式地址；同时提供一键换址脚本，后续若域名变更，可在数分钟内同步更新二维码、立牌与站内图片，避免旧码流出导致访客访问失败。</w:t>
      </w:r>
    </w:p>
    <w:p w14:paraId="519A9DB0">
      <w:pPr>
        <w:spacing w:before="32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30"/>
        </w:rPr>
        <w:t>四、达到的目的</w:t>
      </w:r>
    </w:p>
    <w:p w14:paraId="0ACB2712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本阶段的产出并不止于“有了一个网站”。从项目整体看，它实现了三个层面的转变。</w:t>
      </w:r>
    </w:p>
    <w:p w14:paraId="457F3749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（一）从“做过的事”到“可点开的成果”</w:t>
      </w:r>
    </w:p>
    <w:p w14:paraId="63298752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九廉的多数工作——研学、讲堂、文创、观影、共读、宣誓——过去只能以简报和照片的形式存在于档案袋里。现在每一项都对应一个可访问的页面，评审或访客可以当场点开查看，而不必依赖汇报者的叙述。这对中期检查与结题答辩的意义在于：成果从“可描述”变成了“可验证”。</w:t>
      </w:r>
    </w:p>
    <w:p w14:paraId="35533B50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（二）从“听讲”到“做选择”</w:t>
      </w:r>
    </w:p>
    <w:p w14:paraId="0765EBB0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情景实训栏目把材料汇编中的三类脚本完整搬到了线上。使用者需要连续作出三个决定，每选一次即看到该路径的直接后果与深层影响，全部选完后给出选择画像。这与“看一篇文章、听一场讲座”有本质区别：前者要求表态，后者要求行动。</w:t>
      </w:r>
    </w:p>
    <w:p w14:paraId="78D62AF3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（三）从“一次性活动”到“可复用的教育产品”</w:t>
      </w:r>
    </w:p>
    <w:p w14:paraId="461AD539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项目周期长达一年，若每次活动都重新制作材料，团队将被事务性工作拖垮。本阶段形成的数字资产具备三个特征：内容与界面分离，修改文章只需编辑一个数据文件；全站零外部依赖，十年后仍可打开；文件可整体迁移，更换托管平台无需改动代码。这意味着后续成员接手时，面对的不是一个需要“维护”的系统，而是一份可以继续往里添加的材料。</w:t>
      </w:r>
    </w:p>
    <w:p w14:paraId="1828F166">
      <w:pPr>
        <w:spacing w:before="32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30"/>
        </w:rPr>
        <w:t>五、存在的不足与下一步</w:t>
      </w:r>
    </w:p>
    <w:p w14:paraId="54CB7733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本阶段仍有明确短板，需在下一阶段解决：</w:t>
      </w:r>
    </w:p>
    <w:p w14:paraId="17C58D90">
      <w:pPr>
        <w:spacing w:after="60" w:line="348" w:lineRule="auto"/>
        <w:ind w:left="360"/>
        <w:rPr>
          <w:color w:val="auto"/>
        </w:rPr>
      </w:pPr>
      <w:r>
        <w:rPr>
          <w:rFonts w:ascii="宋体" w:hAnsi="宋体" w:eastAsia="宋体"/>
          <w:b w:val="0"/>
          <w:color w:val="auto"/>
          <w:sz w:val="22"/>
        </w:rPr>
        <w:t xml:space="preserve">· </w:t>
      </w:r>
      <w:r>
        <w:rPr>
          <w:rFonts w:ascii="宋体" w:hAnsi="宋体" w:eastAsia="宋体"/>
          <w:b w:val="0"/>
          <w:color w:val="auto"/>
          <w:sz w:val="22"/>
        </w:rPr>
        <w:t>内容编辑门槛偏高：目前新增文章需直接修改数据文件，非技术成员容易出错，拟开发表单式编辑页面</w:t>
      </w:r>
    </w:p>
    <w:p w14:paraId="6F0A5752">
      <w:pPr>
        <w:spacing w:after="60" w:line="348" w:lineRule="auto"/>
        <w:ind w:left="360"/>
        <w:rPr>
          <w:color w:val="auto"/>
        </w:rPr>
      </w:pPr>
      <w:r>
        <w:rPr>
          <w:rFonts w:ascii="宋体" w:hAnsi="宋体" w:eastAsia="宋体"/>
          <w:b w:val="0"/>
          <w:color w:val="auto"/>
          <w:sz w:val="22"/>
        </w:rPr>
        <w:t xml:space="preserve">· </w:t>
      </w:r>
      <w:r>
        <w:rPr>
          <w:rFonts w:ascii="宋体" w:hAnsi="宋体" w:eastAsia="宋体"/>
          <w:b w:val="0"/>
          <w:color w:val="auto"/>
          <w:sz w:val="22"/>
        </w:rPr>
        <w:t>图片支持缺失：正文暂不支持插图，需补充图片块并配套图注规范</w:t>
      </w:r>
    </w:p>
    <w:p w14:paraId="246E3F11">
      <w:pPr>
        <w:spacing w:after="60" w:line="348" w:lineRule="auto"/>
        <w:ind w:left="360"/>
        <w:rPr>
          <w:color w:val="auto"/>
        </w:rPr>
      </w:pPr>
      <w:r>
        <w:rPr>
          <w:rFonts w:ascii="宋体" w:hAnsi="宋体" w:eastAsia="宋体"/>
          <w:b w:val="0"/>
          <w:color w:val="auto"/>
          <w:sz w:val="22"/>
        </w:rPr>
        <w:t xml:space="preserve">· </w:t>
      </w:r>
      <w:r>
        <w:rPr>
          <w:rFonts w:ascii="宋体" w:hAnsi="宋体" w:eastAsia="宋体"/>
          <w:b w:val="0"/>
          <w:color w:val="auto"/>
          <w:sz w:val="22"/>
        </w:rPr>
        <w:t>访问数据缺失：尚未接入访问统计，无法量化使用情况，中期前需补齐</w:t>
      </w:r>
    </w:p>
    <w:p w14:paraId="79853902">
      <w:pPr>
        <w:spacing w:after="60" w:line="348" w:lineRule="auto"/>
        <w:ind w:left="360"/>
        <w:rPr>
          <w:color w:val="auto"/>
        </w:rPr>
      </w:pPr>
      <w:r>
        <w:rPr>
          <w:rFonts w:ascii="宋体" w:hAnsi="宋体" w:eastAsia="宋体"/>
          <w:b w:val="0"/>
          <w:color w:val="auto"/>
          <w:sz w:val="22"/>
        </w:rPr>
        <w:t xml:space="preserve">· </w:t>
      </w:r>
      <w:r>
        <w:rPr>
          <w:rFonts w:ascii="宋体" w:hAnsi="宋体" w:eastAsia="宋体"/>
          <w:b w:val="0"/>
          <w:color w:val="auto"/>
          <w:sz w:val="22"/>
        </w:rPr>
        <w:t>内容供给依赖人工：网站不会自动更新，需将“每完成一廉、新增一页”纳入固定工作流程</w:t>
      </w:r>
    </w:p>
    <w:p w14:paraId="6ECC7EEA">
      <w:pPr>
        <w:spacing w:before="12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下一阶段的重点不是继续增加功能，而是把“更新内容”这件事的成本降到任何一名团队成员都能完成。只有当内容能持续进入，这个平台才算真正活下来。</w:t>
      </w:r>
    </w:p>
    <w:p w14:paraId="3CFDD5D4">
      <w:pPr>
        <w:rPr>
          <w:color w:val="auto"/>
        </w:rPr>
      </w:pPr>
      <w:r>
        <w:rPr>
          <w:color w:val="auto"/>
        </w:rPr>
        <w:br w:type="page"/>
      </w:r>
    </w:p>
    <w:p w14:paraId="4AA2F9B8">
      <w:pPr>
        <w:spacing w:before="32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30"/>
        </w:rPr>
        <w:t>六、汇报提纲（3—5 分钟）</w:t>
      </w:r>
    </w:p>
    <w:p w14:paraId="3E50A04B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汇报对象不是技术人员，不必讲实现细节。按“是什么—难在哪—有什么—有什么用—下一步”推进，全程控制在 4 分钟，留出提问时间。</w:t>
      </w:r>
    </w:p>
    <w:p w14:paraId="39B3B2EA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（一）时间分配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5443"/>
      </w:tblGrid>
      <w:tr w14:paraId="5269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0F4B42"/>
          </w:tcPr>
          <w:p w14:paraId="6189F715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8"/>
              </w:rPr>
              <w:t>时间</w:t>
            </w:r>
          </w:p>
        </w:tc>
        <w:tc>
          <w:tcPr>
            <w:tcW w:w="1701" w:type="dxa"/>
            <w:shd w:val="clear" w:color="auto" w:fill="0F4B42"/>
          </w:tcPr>
          <w:p w14:paraId="4FC6EF35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8"/>
              </w:rPr>
              <w:t>环节</w:t>
            </w:r>
          </w:p>
        </w:tc>
        <w:tc>
          <w:tcPr>
            <w:tcW w:w="5443" w:type="dxa"/>
            <w:shd w:val="clear" w:color="auto" w:fill="0F4B42"/>
          </w:tcPr>
          <w:p w14:paraId="4D97610C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8"/>
              </w:rPr>
              <w:t>要说清的一句话</w:t>
            </w:r>
          </w:p>
        </w:tc>
      </w:tr>
      <w:tr w14:paraId="39C4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7671324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0:00–0:30</w:t>
            </w:r>
          </w:p>
        </w:tc>
        <w:tc>
          <w:tcPr>
            <w:tcW w:w="1701" w:type="dxa"/>
          </w:tcPr>
          <w:p w14:paraId="02042448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一句话定位</w:t>
            </w:r>
          </w:p>
        </w:tc>
        <w:tc>
          <w:tcPr>
            <w:tcW w:w="5443" w:type="dxa"/>
          </w:tcPr>
          <w:p w14:paraId="364525F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把九廉的课程做成一个任何人能打开、现场能用、断网也能用的数字入口。</w:t>
            </w:r>
          </w:p>
        </w:tc>
      </w:tr>
      <w:tr w14:paraId="4CD8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CAF603C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0:30–1:40</w:t>
            </w:r>
          </w:p>
        </w:tc>
        <w:tc>
          <w:tcPr>
            <w:tcW w:w="1701" w:type="dxa"/>
          </w:tcPr>
          <w:p w14:paraId="57595131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三个难点</w:t>
            </w:r>
          </w:p>
        </w:tc>
        <w:tc>
          <w:tcPr>
            <w:tcW w:w="5443" w:type="dxa"/>
          </w:tcPr>
          <w:p w14:paraId="3A25BCB0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没有服务器、场馆网络不可控、访客会误操作——各讲一句怎么解决。</w:t>
            </w:r>
          </w:p>
        </w:tc>
      </w:tr>
      <w:tr w14:paraId="724D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E082DF1">
            <w:pPr>
              <w:spacing w:before="40" w:after="40" w:line="312" w:lineRule="auto"/>
              <w:rPr>
                <w:color w:val="auto"/>
              </w:rPr>
            </w:pPr>
            <w:bookmarkStart w:id="0" w:name="_GoBack"/>
            <w:r>
              <w:rPr>
                <w:rFonts w:ascii="宋体" w:hAnsi="宋体" w:eastAsia="宋体"/>
                <w:b w:val="0"/>
                <w:color w:val="auto"/>
                <w:sz w:val="18"/>
              </w:rPr>
              <w:t>1:40–2:40</w:t>
            </w:r>
          </w:p>
        </w:tc>
        <w:tc>
          <w:tcPr>
            <w:tcW w:w="1701" w:type="dxa"/>
          </w:tcPr>
          <w:p w14:paraId="070B7A3A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现场演示</w:t>
            </w:r>
          </w:p>
        </w:tc>
        <w:tc>
          <w:tcPr>
            <w:tcW w:w="5443" w:type="dxa"/>
          </w:tcPr>
          <w:p w14:paraId="12FAE528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打开网址，点进情景实训，当场做一次选择。</w:t>
            </w:r>
          </w:p>
        </w:tc>
      </w:tr>
      <w:bookmarkEnd w:id="0"/>
      <w:tr w14:paraId="71A6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2933DF8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2:40–3:40</w:t>
            </w:r>
          </w:p>
        </w:tc>
        <w:tc>
          <w:tcPr>
            <w:tcW w:w="1701" w:type="dxa"/>
          </w:tcPr>
          <w:p w14:paraId="69FBB474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三层转变</w:t>
            </w:r>
          </w:p>
        </w:tc>
        <w:tc>
          <w:tcPr>
            <w:tcW w:w="5443" w:type="dxa"/>
          </w:tcPr>
          <w:p w14:paraId="281E3077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从可描述到可验证、从听讲到做选择、从一次性活动到可复用产品。</w:t>
            </w:r>
          </w:p>
        </w:tc>
      </w:tr>
      <w:tr w14:paraId="64DF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8261771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3:40–4:00</w:t>
            </w:r>
          </w:p>
        </w:tc>
        <w:tc>
          <w:tcPr>
            <w:tcW w:w="1701" w:type="dxa"/>
          </w:tcPr>
          <w:p w14:paraId="40ACB556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下一步</w:t>
            </w:r>
          </w:p>
        </w:tc>
        <w:tc>
          <w:tcPr>
            <w:tcW w:w="5443" w:type="dxa"/>
          </w:tcPr>
          <w:p w14:paraId="674D6393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降低内容更新门槛，让每个成员都能往里加东西。</w:t>
            </w:r>
          </w:p>
        </w:tc>
      </w:tr>
    </w:tbl>
    <w:p w14:paraId="664F0D48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（二）开场白</w:t>
      </w:r>
    </w:p>
    <w:p w14:paraId="4DF667FE">
      <w:pPr>
        <w:spacing w:before="0" w:after="120" w:line="348" w:lineRule="auto"/>
        <w:ind w:firstLine="48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“各位老师好。这个阶段我们完成的不是一个网页，而是把‘四维九廉’从 Word 文档变成了一个可以现场打开、可以动手操作、也可以被核查的数字入口。下面我用四分钟说明三件事：我们解决了什么、现在有什么、它有什么用。”</w:t>
      </w:r>
    </w:p>
    <w:p w14:paraId="78586096">
      <w:pPr>
        <w:spacing w:before="200" w:after="120" w:line="312" w:lineRule="auto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（三）三个预设问题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783"/>
      </w:tblGrid>
      <w:tr w14:paraId="4D119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0F4B42"/>
          </w:tcPr>
          <w:p w14:paraId="79C1502B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8"/>
              </w:rPr>
              <w:t>可能被问到</w:t>
            </w:r>
          </w:p>
        </w:tc>
        <w:tc>
          <w:tcPr>
            <w:tcW w:w="5783" w:type="dxa"/>
            <w:shd w:val="clear" w:color="auto" w:fill="0F4B42"/>
          </w:tcPr>
          <w:p w14:paraId="7CA0807E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18"/>
              </w:rPr>
              <w:t>建议回答</w:t>
            </w:r>
          </w:p>
        </w:tc>
      </w:tr>
      <w:tr w14:paraId="77AB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</w:tcPr>
          <w:p w14:paraId="334EB79B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和网上现成的廉洁教育平台有什么区别？</w:t>
            </w:r>
          </w:p>
        </w:tc>
        <w:tc>
          <w:tcPr>
            <w:tcW w:w="5783" w:type="dxa"/>
          </w:tcPr>
          <w:p w14:paraId="2F16ACC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区别在结构：内容是九廉的具体做法而非转载；核心是三个可动手决策的情景；问答不做自由生成，每条都能点回出处。</w:t>
            </w:r>
          </w:p>
        </w:tc>
      </w:tr>
      <w:tr w14:paraId="71A0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</w:tcPr>
          <w:p w14:paraId="64845575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以后谁来更新？会不会做了就放着？</w:t>
            </w:r>
          </w:p>
        </w:tc>
        <w:tc>
          <w:tcPr>
            <w:tcW w:w="5783" w:type="dxa"/>
          </w:tcPr>
          <w:p w14:paraId="58B6367E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内容与界面分离，改文章只动一个数据文件；下一步做表单式编辑页，不写代码也能加内容。</w:t>
            </w:r>
          </w:p>
        </w:tc>
      </w:tr>
      <w:tr w14:paraId="3125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</w:tcPr>
          <w:p w14:paraId="3997D8C7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如果场馆断网了怎么办？</w:t>
            </w:r>
          </w:p>
        </w:tc>
        <w:tc>
          <w:tcPr>
            <w:tcW w:w="5783" w:type="dxa"/>
          </w:tcPr>
          <w:p w14:paraId="54F597DD">
            <w:pPr>
              <w:spacing w:before="40" w:after="40" w:line="312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馆内触摸屏用本地导览模式，断网照常运行；公网版本只服务手机扫码，两条路径互不依赖。</w:t>
            </w:r>
          </w:p>
        </w:tc>
      </w:tr>
    </w:tbl>
    <w:p w14:paraId="37DCF297">
      <w:pPr>
        <w:spacing w:before="480"/>
        <w:jc w:val="right"/>
        <w:rPr>
          <w:color w:val="auto"/>
        </w:rPr>
      </w:pPr>
      <w:r>
        <w:rPr>
          <w:rFonts w:ascii="宋体" w:hAnsi="宋体" w:eastAsia="宋体"/>
          <w:b w:val="0"/>
          <w:color w:val="auto"/>
          <w:sz w:val="23"/>
        </w:rPr>
        <w:t>青“廉”筑梦项目组</w:t>
      </w:r>
    </w:p>
    <w:p w14:paraId="64F4CDAA">
      <w:pPr>
        <w:jc w:val="right"/>
        <w:rPr>
          <w:color w:val="auto"/>
        </w:rPr>
      </w:pPr>
      <w:r>
        <w:rPr>
          <w:rFonts w:ascii="宋体" w:hAnsi="宋体" w:eastAsia="宋体"/>
          <w:b w:val="0"/>
          <w:color w:val="auto"/>
          <w:sz w:val="23"/>
        </w:rPr>
        <w:t>2026 年 10 月</w:t>
      </w:r>
    </w:p>
    <w:sectPr>
      <w:pgSz w:w="11906" w:h="16838"/>
      <w:pgMar w:top="1474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34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3125</Words>
  <Characters>3252</Characters>
  <Lines>0</Lines>
  <Paragraphs>0</Paragraphs>
  <TotalTime>1</TotalTime>
  <ScaleCrop>false</ScaleCrop>
  <LinksUpToDate>false</LinksUpToDate>
  <CharactersWithSpaces>3320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余伯俊</cp:lastModifiedBy>
  <dcterms:modified xsi:type="dcterms:W3CDTF">2026-10-24T15:23:11Z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eyJoZGlkIjoiZTU3NGM4YjljMTk1ZjM3NTM4N2U0NTg1NzEwMWY1ZjQiLCJ1c2VySWQiOiIxNzQzNDIyOTUwIn0=</vt:lpwstr>
  </property>
  <property fmtid="{D5CDD505-2E9C-101B-9397-08002B2CF9AE}" pid="3" name="KSOProductBuildVer">
    <vt:lpwstr>2052-12.1.0.19770</vt:lpwstr>
  </property>
  <property fmtid="{D5CDD505-2E9C-101B-9397-08002B2CF9AE}" pid="4" name="ICV">
    <vt:lpwstr>0078DEE1071B483CAEB0846476257481_12</vt:lpwstr>
  </property>
</Properties>
</file>