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Strict Reservation Objectives: Baseline Results</w:t>
      </w:r>
    </w:p>
    <w:p>
      <w:pPr>
        <w:jc w:val="center"/>
      </w:pPr>
      <w:r>
        <w:t>Baseline: symmetric behavior, lambda_1=lambda_2=25, S=32, H=14, seeds 5101-5105</w:t>
      </w:r>
    </w:p>
    <w:p>
      <w:pPr>
        <w:pStyle w:val="Heading1"/>
      </w:pPr>
      <w:r>
        <w:t>Purpose</w:t>
      </w:r>
    </w:p>
    <w:p>
      <w:r>
        <w:t>We compare strict Class 1 reservation to pooled FCFS for different values of Q. In this memo, utilization means booked-slot utilization.</w:t>
      </w:r>
    </w:p>
    <w:p>
      <w:pPr>
        <w:pStyle w:val="Heading1"/>
      </w:pPr>
      <w:r>
        <w:t>Objective Functions</w:t>
      </w:r>
    </w:p>
    <w:p>
      <w:r>
        <w:t>1. Weighted utilization, to maximize:</w:t>
      </w:r>
    </w:p>
    <w:p>
      <w:r>
        <w:t>U(Q) = w1 rho1(Q) + w2 rho2(Q)</w:t>
      </w:r>
    </w:p>
    <w:p>
      <w:r>
        <w:t>2. Weighted waiting time, to minimize:</w:t>
      </w:r>
    </w:p>
    <w:p>
      <w:r>
        <w:t>T(Q) = [w1 sum tau_offered,1(Q) + w2 sum tau_offered,2(Q)] / [w1 offered1(Q) + w2 offered2(Q)]</w:t>
      </w:r>
    </w:p>
    <w:p>
      <w:r>
        <w:t>Current weights: w1=1.5, w2=1.</w:t>
      </w:r>
    </w:p>
    <w:p>
      <w:r>
        <w:t>Served-rate check: flag any Q where Class 1 or Class 2 served rate is below 50%.</w:t>
      </w:r>
    </w:p>
    <w:p>
      <w:pPr>
        <w:pStyle w:val="Heading1"/>
      </w:pPr>
      <w:r>
        <w:t>FCFS Reference</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t>Policy</w:t>
            </w:r>
          </w:p>
        </w:tc>
        <w:tc>
          <w:tcPr>
            <w:tcW w:type="dxa" w:w="1022"/>
          </w:tcPr>
          <w:p>
            <w:r>
              <w:t>Q</w:t>
            </w:r>
          </w:p>
        </w:tc>
        <w:tc>
          <w:tcPr>
            <w:tcW w:type="dxa" w:w="1022"/>
          </w:tcPr>
          <w:p>
            <w:r>
              <w:t>Class 1 utilization contribution</w:t>
            </w:r>
          </w:p>
        </w:tc>
        <w:tc>
          <w:tcPr>
            <w:tcW w:type="dxa" w:w="1022"/>
          </w:tcPr>
          <w:p>
            <w:r>
              <w:t>Class 2 utilization contribution</w:t>
            </w:r>
          </w:p>
        </w:tc>
        <w:tc>
          <w:tcPr>
            <w:tcW w:type="dxa" w:w="1022"/>
          </w:tcPr>
          <w:p>
            <w:r>
              <w:t>Weighted utilization</w:t>
            </w:r>
          </w:p>
        </w:tc>
        <w:tc>
          <w:tcPr>
            <w:tcW w:type="dxa" w:w="1022"/>
          </w:tcPr>
          <w:p>
            <w:r>
              <w:t>Class 1 wait</w:t>
            </w:r>
          </w:p>
        </w:tc>
        <w:tc>
          <w:tcPr>
            <w:tcW w:type="dxa" w:w="1022"/>
          </w:tcPr>
          <w:p>
            <w:r>
              <w:t>Class 2 wait</w:t>
            </w:r>
          </w:p>
        </w:tc>
        <w:tc>
          <w:tcPr>
            <w:tcW w:type="dxa" w:w="1022"/>
          </w:tcPr>
          <w:p>
            <w:r>
              <w:t>Weighted wait</w:t>
            </w:r>
          </w:p>
        </w:tc>
        <w:tc>
          <w:tcPr>
            <w:tcW w:type="dxa" w:w="1022"/>
          </w:tcPr>
          <w:p>
            <w:r>
              <w:t>Class 1 served rate</w:t>
            </w:r>
          </w:p>
        </w:tc>
        <w:tc>
          <w:tcPr>
            <w:tcW w:type="dxa" w:w="1022"/>
          </w:tcPr>
          <w:p>
            <w:r>
              <w:t>Class 2 served rate</w:t>
            </w:r>
          </w:p>
        </w:tc>
      </w:tr>
      <w:tr>
        <w:tc>
          <w:tcPr>
            <w:tcW w:type="dxa" w:w="1022"/>
          </w:tcPr>
          <w:p>
            <w:r>
              <w:t>Pooled FCFS</w:t>
            </w:r>
          </w:p>
        </w:tc>
        <w:tc>
          <w:tcPr>
            <w:tcW w:type="dxa" w:w="1022"/>
          </w:tcPr>
          <w:p>
            <w:r>
              <w:t>0</w:t>
            </w:r>
          </w:p>
        </w:tc>
        <w:tc>
          <w:tcPr>
            <w:tcW w:type="dxa" w:w="1022"/>
          </w:tcPr>
          <w:p>
            <w:r>
              <w:t>0.755</w:t>
            </w:r>
          </w:p>
        </w:tc>
        <w:tc>
          <w:tcPr>
            <w:tcW w:type="dxa" w:w="1022"/>
          </w:tcPr>
          <w:p>
            <w:r>
              <w:t>0.497</w:t>
            </w:r>
          </w:p>
        </w:tc>
        <w:tc>
          <w:tcPr>
            <w:tcW w:type="dxa" w:w="1022"/>
          </w:tcPr>
          <w:p>
            <w:r>
              <w:t>1.253</w:t>
            </w:r>
          </w:p>
        </w:tc>
        <w:tc>
          <w:tcPr>
            <w:tcW w:type="dxa" w:w="1022"/>
          </w:tcPr>
          <w:p>
            <w:r>
              <w:t>5.420</w:t>
            </w:r>
          </w:p>
        </w:tc>
        <w:tc>
          <w:tcPr>
            <w:tcW w:type="dxa" w:w="1022"/>
          </w:tcPr>
          <w:p>
            <w:r>
              <w:t>5.418</w:t>
            </w:r>
          </w:p>
        </w:tc>
        <w:tc>
          <w:tcPr>
            <w:tcW w:type="dxa" w:w="1022"/>
          </w:tcPr>
          <w:p>
            <w:r>
              <w:t>5.419</w:t>
            </w:r>
          </w:p>
        </w:tc>
        <w:tc>
          <w:tcPr>
            <w:tcW w:type="dxa" w:w="1022"/>
          </w:tcPr>
          <w:p>
            <w:r>
              <w:t>0.586</w:t>
            </w:r>
          </w:p>
        </w:tc>
        <w:tc>
          <w:tcPr>
            <w:tcW w:type="dxa" w:w="1022"/>
          </w:tcPr>
          <w:p>
            <w:r>
              <w:t>0.583</w:t>
            </w:r>
          </w:p>
        </w:tc>
      </w:tr>
    </w:tbl>
    <w:p>
      <w:pPr>
        <w:pStyle w:val="Heading1"/>
      </w:pPr>
      <w:r>
        <w:t>How To Read The Plots</w:t>
      </w:r>
    </w:p>
    <w:p>
      <w:r>
        <w:t>The plots are intentionally visual. They do not select an optimal Q. Use the curves to decide where the objective looks strongest and compare that point to the dashed FCFS reference.</w:t>
      </w:r>
    </w:p>
    <w:p>
      <w:r>
        <w:t>Black X markers show Q values where at least one class has served rate below 50%. Those points can still be inspected, but they should be treated as flagged.</w:t>
      </w:r>
    </w:p>
    <w:p>
      <w:pPr>
        <w:pStyle w:val="Heading1"/>
      </w:pPr>
      <w:r>
        <w:t>Objective 1 Plot</w:t>
      </w:r>
    </w:p>
    <w:p>
      <w:r>
        <w:drawing>
          <wp:inline xmlns:a="http://schemas.openxmlformats.org/drawingml/2006/main" xmlns:pic="http://schemas.openxmlformats.org/drawingml/2006/picture">
            <wp:extent cx="6126480" cy="3500846"/>
            <wp:docPr id="1" name="Picture 1"/>
            <wp:cNvGraphicFramePr>
              <a:graphicFrameLocks noChangeAspect="1"/>
            </wp:cNvGraphicFramePr>
            <a:graphic>
              <a:graphicData uri="http://schemas.openxmlformats.org/drawingml/2006/picture">
                <pic:pic>
                  <pic:nvPicPr>
                    <pic:cNvPr id="0" name="objective_1_weighted_utilization.png"/>
                    <pic:cNvPicPr/>
                  </pic:nvPicPr>
                  <pic:blipFill>
                    <a:blip r:embed="rId9"/>
                    <a:stretch>
                      <a:fillRect/>
                    </a:stretch>
                  </pic:blipFill>
                  <pic:spPr>
                    <a:xfrm>
                      <a:off x="0" y="0"/>
                      <a:ext cx="6126480" cy="3500846"/>
                    </a:xfrm>
                    <a:prstGeom prst="rect"/>
                  </pic:spPr>
                </pic:pic>
              </a:graphicData>
            </a:graphic>
          </wp:inline>
        </w:drawing>
      </w:r>
    </w:p>
    <w:p>
      <w:r>
        <w:t>Class lines show each weighted utilization contribution. The overall line is U(Q)=w1 rho1(Q)+w2 rho2(Q). Dashed lines are FCFS references.</w:t>
      </w:r>
    </w:p>
    <w:p>
      <w:pPr>
        <w:pStyle w:val="Heading1"/>
      </w:pPr>
      <w:r>
        <w:t>Objective 2 Plot</w:t>
      </w:r>
    </w:p>
    <w:p>
      <w:r>
        <w:drawing>
          <wp:inline xmlns:a="http://schemas.openxmlformats.org/drawingml/2006/main" xmlns:pic="http://schemas.openxmlformats.org/drawingml/2006/picture">
            <wp:extent cx="6126480" cy="3500846"/>
            <wp:docPr id="2" name="Picture 2"/>
            <wp:cNvGraphicFramePr>
              <a:graphicFrameLocks noChangeAspect="1"/>
            </wp:cNvGraphicFramePr>
            <a:graphic>
              <a:graphicData uri="http://schemas.openxmlformats.org/drawingml/2006/picture">
                <pic:pic>
                  <pic:nvPicPr>
                    <pic:cNvPr id="0" name="objective_2_weighted_wait.png"/>
                    <pic:cNvPicPr/>
                  </pic:nvPicPr>
                  <pic:blipFill>
                    <a:blip r:embed="rId10"/>
                    <a:stretch>
                      <a:fillRect/>
                    </a:stretch>
                  </pic:blipFill>
                  <pic:spPr>
                    <a:xfrm>
                      <a:off x="0" y="0"/>
                      <a:ext cx="6126480" cy="3500846"/>
                    </a:xfrm>
                    <a:prstGeom prst="rect"/>
                  </pic:spPr>
                </pic:pic>
              </a:graphicData>
            </a:graphic>
          </wp:inline>
        </w:drawing>
      </w:r>
    </w:p>
    <w:p>
      <w:r>
        <w:t>Class lines show average offered wait by class. The overall line is the weighted average offered wait T(Q). Lower values are better. Dashed lines are FCFS references.</w:t>
      </w:r>
    </w:p>
    <w:p>
      <w:pPr>
        <w:pStyle w:val="Heading1"/>
      </w:pPr>
      <w:r>
        <w:t>Served-Rate Flags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Q</w:t>
            </w:r>
          </w:p>
        </w:tc>
        <w:tc>
          <w:tcPr>
            <w:tcW w:type="dxa" w:w="2556"/>
          </w:tcPr>
          <w:p>
            <w:r>
              <w:t>Class 1 served rate</w:t>
            </w:r>
          </w:p>
        </w:tc>
        <w:tc>
          <w:tcPr>
            <w:tcW w:type="dxa" w:w="2556"/>
          </w:tcPr>
          <w:p>
            <w:r>
              <w:t>Class 2 served rate</w:t>
            </w:r>
          </w:p>
        </w:tc>
        <w:tc>
          <w:tcPr>
            <w:tcW w:type="dxa" w:w="2556"/>
          </w:tcPr>
          <w:p>
            <w:r>
              <w:t>Minimum served rate</w:t>
            </w:r>
          </w:p>
        </w:tc>
      </w:tr>
      <w:tr>
        <w:tc>
          <w:tcPr>
            <w:tcW w:type="dxa" w:w="2556"/>
          </w:tcPr>
          <w:p>
            <w:r>
              <w:t>16</w:t>
            </w:r>
          </w:p>
        </w:tc>
        <w:tc>
          <w:tcPr>
            <w:tcW w:type="dxa" w:w="2556"/>
          </w:tcPr>
          <w:p>
            <w:r>
              <w:t>0.668</w:t>
            </w:r>
          </w:p>
        </w:tc>
        <w:tc>
          <w:tcPr>
            <w:tcW w:type="dxa" w:w="2556"/>
          </w:tcPr>
          <w:p>
            <w:r>
              <w:t>0.498</w:t>
            </w:r>
          </w:p>
        </w:tc>
        <w:tc>
          <w:tcPr>
            <w:tcW w:type="dxa" w:w="2556"/>
          </w:tcPr>
          <w:p>
            <w:r>
              <w:t>0.498</w:t>
            </w:r>
          </w:p>
        </w:tc>
      </w:tr>
      <w:tr>
        <w:tc>
          <w:tcPr>
            <w:tcW w:type="dxa" w:w="2556"/>
          </w:tcPr>
          <w:p>
            <w:r>
              <w:t>20</w:t>
            </w:r>
          </w:p>
        </w:tc>
        <w:tc>
          <w:tcPr>
            <w:tcW w:type="dxa" w:w="2556"/>
          </w:tcPr>
          <w:p>
            <w:r>
              <w:t>0.814</w:t>
            </w:r>
          </w:p>
        </w:tc>
        <w:tc>
          <w:tcPr>
            <w:tcW w:type="dxa" w:w="2556"/>
          </w:tcPr>
          <w:p>
            <w:r>
              <w:t>0.388</w:t>
            </w:r>
          </w:p>
        </w:tc>
        <w:tc>
          <w:tcPr>
            <w:tcW w:type="dxa" w:w="2556"/>
          </w:tcPr>
          <w:p>
            <w:r>
              <w:t>0.388</w:t>
            </w:r>
          </w:p>
        </w:tc>
      </w:tr>
      <w:tr>
        <w:tc>
          <w:tcPr>
            <w:tcW w:type="dxa" w:w="2556"/>
          </w:tcPr>
          <w:p>
            <w:r>
              <w:t>24</w:t>
            </w:r>
          </w:p>
        </w:tc>
        <w:tc>
          <w:tcPr>
            <w:tcW w:type="dxa" w:w="2556"/>
          </w:tcPr>
          <w:p>
            <w:r>
              <w:t>0.956</w:t>
            </w:r>
          </w:p>
        </w:tc>
        <w:tc>
          <w:tcPr>
            <w:tcW w:type="dxa" w:w="2556"/>
          </w:tcPr>
          <w:p>
            <w:r>
              <w:t>0.267</w:t>
            </w:r>
          </w:p>
        </w:tc>
        <w:tc>
          <w:tcPr>
            <w:tcW w:type="dxa" w:w="2556"/>
          </w:tcPr>
          <w:p>
            <w:r>
              <w:t>0.267</w:t>
            </w:r>
          </w:p>
        </w:tc>
      </w:tr>
      <w:tr>
        <w:tc>
          <w:tcPr>
            <w:tcW w:type="dxa" w:w="2556"/>
          </w:tcPr>
          <w:p>
            <w:r>
              <w:t>28</w:t>
            </w:r>
          </w:p>
        </w:tc>
        <w:tc>
          <w:tcPr>
            <w:tcW w:type="dxa" w:w="2556"/>
          </w:tcPr>
          <w:p>
            <w:r>
              <w:t>1.000</w:t>
            </w:r>
          </w:p>
        </w:tc>
        <w:tc>
          <w:tcPr>
            <w:tcW w:type="dxa" w:w="2556"/>
          </w:tcPr>
          <w:p>
            <w:r>
              <w:t>0.136</w:t>
            </w:r>
          </w:p>
        </w:tc>
        <w:tc>
          <w:tcPr>
            <w:tcW w:type="dxa" w:w="2556"/>
          </w:tcPr>
          <w:p>
            <w:r>
              <w:t>0.136</w:t>
            </w:r>
          </w:p>
        </w:tc>
      </w:tr>
      <w:tr>
        <w:tc>
          <w:tcPr>
            <w:tcW w:type="dxa" w:w="2556"/>
          </w:tcPr>
          <w:p>
            <w:r>
              <w:t>32</w:t>
            </w:r>
          </w:p>
        </w:tc>
        <w:tc>
          <w:tcPr>
            <w:tcW w:type="dxa" w:w="2556"/>
          </w:tcPr>
          <w:p>
            <w:r>
              <w:t>1.000</w:t>
            </w:r>
          </w:p>
        </w:tc>
        <w:tc>
          <w:tcPr>
            <w:tcW w:type="dxa" w:w="2556"/>
          </w:tcPr>
          <w:p>
            <w:r>
              <w:t>0.000</w:t>
            </w:r>
          </w:p>
        </w:tc>
        <w:tc>
          <w:tcPr>
            <w:tcW w:type="dxa" w:w="2556"/>
          </w:tcPr>
          <w:p>
            <w:r>
              <w:t>0.000</w:t>
            </w:r>
          </w:p>
        </w:tc>
      </w:tr>
    </w:tbl>
    <w:p>
      <w:pPr>
        <w:pStyle w:val="Heading1"/>
      </w:pPr>
      <w:r>
        <w:t>Data Snapshot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Q</w:t>
            </w:r>
          </w:p>
        </w:tc>
        <w:tc>
          <w:tcPr>
            <w:tcW w:type="dxa" w:w="1704"/>
          </w:tcPr>
          <w:p>
            <w:r>
              <w:t>U(Q)</w:t>
            </w:r>
          </w:p>
        </w:tc>
        <w:tc>
          <w:tcPr>
            <w:tcW w:type="dxa" w:w="1704"/>
          </w:tcPr>
          <w:p>
            <w:r>
              <w:t>T(Q)</w:t>
            </w:r>
          </w:p>
        </w:tc>
        <w:tc>
          <w:tcPr>
            <w:tcW w:type="dxa" w:w="1704"/>
          </w:tcPr>
          <w:p>
            <w:r>
              <w:t>Class 1 served rate</w:t>
            </w:r>
          </w:p>
        </w:tc>
        <w:tc>
          <w:tcPr>
            <w:tcW w:type="dxa" w:w="1704"/>
          </w:tcPr>
          <w:p>
            <w:r>
              <w:t>Class 2 served rate</w:t>
            </w:r>
          </w:p>
        </w:tc>
        <w:tc>
          <w:tcPr>
            <w:tcW w:type="dxa" w:w="1704"/>
          </w:tcPr>
          <w:p>
            <w:r>
              <w:t>Flag</w:t>
            </w:r>
          </w:p>
        </w:tc>
      </w:tr>
      <w:tr>
        <w:tc>
          <w:tcPr>
            <w:tcW w:type="dxa" w:w="1704"/>
          </w:tcPr>
          <w:p>
            <w:r>
              <w:t>0</w:t>
            </w:r>
          </w:p>
        </w:tc>
        <w:tc>
          <w:tcPr>
            <w:tcW w:type="dxa" w:w="1704"/>
          </w:tcPr>
          <w:p>
            <w:r>
              <w:t>1.253</w:t>
            </w:r>
          </w:p>
        </w:tc>
        <w:tc>
          <w:tcPr>
            <w:tcW w:type="dxa" w:w="1704"/>
          </w:tcPr>
          <w:p>
            <w:r>
              <w:t>5.419</w:t>
            </w:r>
          </w:p>
        </w:tc>
        <w:tc>
          <w:tcPr>
            <w:tcW w:type="dxa" w:w="1704"/>
          </w:tcPr>
          <w:p>
            <w:r>
              <w:t>0.586</w:t>
            </w:r>
          </w:p>
        </w:tc>
        <w:tc>
          <w:tcPr>
            <w:tcW w:type="dxa" w:w="1704"/>
          </w:tcPr>
          <w:p>
            <w:r>
              <w:t>0.583</w:t>
            </w:r>
          </w:p>
        </w:tc>
        <w:tc>
          <w:tcPr>
            <w:tcW w:type="dxa" w:w="1704"/>
          </w:tcPr>
          <w:p>
            <w:r>
              <w:t>no</w:t>
            </w:r>
          </w:p>
        </w:tc>
      </w:tr>
      <w:tr>
        <w:tc>
          <w:tcPr>
            <w:tcW w:type="dxa" w:w="1704"/>
          </w:tcPr>
          <w:p>
            <w:r>
              <w:t>2</w:t>
            </w:r>
          </w:p>
        </w:tc>
        <w:tc>
          <w:tcPr>
            <w:tcW w:type="dxa" w:w="1704"/>
          </w:tcPr>
          <w:p>
            <w:r>
              <w:t>1.253</w:t>
            </w:r>
          </w:p>
        </w:tc>
        <w:tc>
          <w:tcPr>
            <w:tcW w:type="dxa" w:w="1704"/>
          </w:tcPr>
          <w:p>
            <w:r>
              <w:t>5.418</w:t>
            </w:r>
          </w:p>
        </w:tc>
        <w:tc>
          <w:tcPr>
            <w:tcW w:type="dxa" w:w="1704"/>
          </w:tcPr>
          <w:p>
            <w:r>
              <w:t>0.586</w:t>
            </w:r>
          </w:p>
        </w:tc>
        <w:tc>
          <w:tcPr>
            <w:tcW w:type="dxa" w:w="1704"/>
          </w:tcPr>
          <w:p>
            <w:r>
              <w:t>0.583</w:t>
            </w:r>
          </w:p>
        </w:tc>
        <w:tc>
          <w:tcPr>
            <w:tcW w:type="dxa" w:w="1704"/>
          </w:tcPr>
          <w:p>
            <w:r>
              <w:t>no</w:t>
            </w:r>
          </w:p>
        </w:tc>
      </w:tr>
      <w:tr>
        <w:tc>
          <w:tcPr>
            <w:tcW w:type="dxa" w:w="1704"/>
          </w:tcPr>
          <w:p>
            <w:r>
              <w:t>4</w:t>
            </w:r>
          </w:p>
        </w:tc>
        <w:tc>
          <w:tcPr>
            <w:tcW w:type="dxa" w:w="1704"/>
          </w:tcPr>
          <w:p>
            <w:r>
              <w:t>1.253</w:t>
            </w:r>
          </w:p>
        </w:tc>
        <w:tc>
          <w:tcPr>
            <w:tcW w:type="dxa" w:w="1704"/>
          </w:tcPr>
          <w:p>
            <w:r>
              <w:t>5.416</w:t>
            </w:r>
          </w:p>
        </w:tc>
        <w:tc>
          <w:tcPr>
            <w:tcW w:type="dxa" w:w="1704"/>
          </w:tcPr>
          <w:p>
            <w:r>
              <w:t>0.587</w:t>
            </w:r>
          </w:p>
        </w:tc>
        <w:tc>
          <w:tcPr>
            <w:tcW w:type="dxa" w:w="1704"/>
          </w:tcPr>
          <w:p>
            <w:r>
              <w:t>0.582</w:t>
            </w:r>
          </w:p>
        </w:tc>
        <w:tc>
          <w:tcPr>
            <w:tcW w:type="dxa" w:w="1704"/>
          </w:tcPr>
          <w:p>
            <w:r>
              <w:t>no</w:t>
            </w:r>
          </w:p>
        </w:tc>
      </w:tr>
      <w:tr>
        <w:tc>
          <w:tcPr>
            <w:tcW w:type="dxa" w:w="1704"/>
          </w:tcPr>
          <w:p>
            <w:r>
              <w:t>6</w:t>
            </w:r>
          </w:p>
        </w:tc>
        <w:tc>
          <w:tcPr>
            <w:tcW w:type="dxa" w:w="1704"/>
          </w:tcPr>
          <w:p>
            <w:r>
              <w:t>1.253</w:t>
            </w:r>
          </w:p>
        </w:tc>
        <w:tc>
          <w:tcPr>
            <w:tcW w:type="dxa" w:w="1704"/>
          </w:tcPr>
          <w:p>
            <w:r>
              <w:t>5.413</w:t>
            </w:r>
          </w:p>
        </w:tc>
        <w:tc>
          <w:tcPr>
            <w:tcW w:type="dxa" w:w="1704"/>
          </w:tcPr>
          <w:p>
            <w:r>
              <w:t>0.588</w:t>
            </w:r>
          </w:p>
        </w:tc>
        <w:tc>
          <w:tcPr>
            <w:tcW w:type="dxa" w:w="1704"/>
          </w:tcPr>
          <w:p>
            <w:r>
              <w:t>0.581</w:t>
            </w:r>
          </w:p>
        </w:tc>
        <w:tc>
          <w:tcPr>
            <w:tcW w:type="dxa" w:w="1704"/>
          </w:tcPr>
          <w:p>
            <w:r>
              <w:t>no</w:t>
            </w:r>
          </w:p>
        </w:tc>
      </w:tr>
      <w:tr>
        <w:tc>
          <w:tcPr>
            <w:tcW w:type="dxa" w:w="1704"/>
          </w:tcPr>
          <w:p>
            <w:r>
              <w:t>8</w:t>
            </w:r>
          </w:p>
        </w:tc>
        <w:tc>
          <w:tcPr>
            <w:tcW w:type="dxa" w:w="1704"/>
          </w:tcPr>
          <w:p>
            <w:r>
              <w:t>1.254</w:t>
            </w:r>
          </w:p>
        </w:tc>
        <w:tc>
          <w:tcPr>
            <w:tcW w:type="dxa" w:w="1704"/>
          </w:tcPr>
          <w:p>
            <w:r>
              <w:t>5.409</w:t>
            </w:r>
          </w:p>
        </w:tc>
        <w:tc>
          <w:tcPr>
            <w:tcW w:type="dxa" w:w="1704"/>
          </w:tcPr>
          <w:p>
            <w:r>
              <w:t>0.589</w:t>
            </w:r>
          </w:p>
        </w:tc>
        <w:tc>
          <w:tcPr>
            <w:tcW w:type="dxa" w:w="1704"/>
          </w:tcPr>
          <w:p>
            <w:r>
              <w:t>0.579</w:t>
            </w:r>
          </w:p>
        </w:tc>
        <w:tc>
          <w:tcPr>
            <w:tcW w:type="dxa" w:w="1704"/>
          </w:tcPr>
          <w:p>
            <w:r>
              <w:t>no</w:t>
            </w:r>
          </w:p>
        </w:tc>
      </w:tr>
      <w:tr>
        <w:tc>
          <w:tcPr>
            <w:tcW w:type="dxa" w:w="1704"/>
          </w:tcPr>
          <w:p>
            <w:r>
              <w:t>10</w:t>
            </w:r>
          </w:p>
        </w:tc>
        <w:tc>
          <w:tcPr>
            <w:tcW w:type="dxa" w:w="1704"/>
          </w:tcPr>
          <w:p>
            <w:r>
              <w:t>1.255</w:t>
            </w:r>
          </w:p>
        </w:tc>
        <w:tc>
          <w:tcPr>
            <w:tcW w:type="dxa" w:w="1704"/>
          </w:tcPr>
          <w:p>
            <w:r>
              <w:t>5.404</w:t>
            </w:r>
          </w:p>
        </w:tc>
        <w:tc>
          <w:tcPr>
            <w:tcW w:type="dxa" w:w="1704"/>
          </w:tcPr>
          <w:p>
            <w:r>
              <w:t>0.593</w:t>
            </w:r>
          </w:p>
        </w:tc>
        <w:tc>
          <w:tcPr>
            <w:tcW w:type="dxa" w:w="1704"/>
          </w:tcPr>
          <w:p>
            <w:r>
              <w:t>0.576</w:t>
            </w:r>
          </w:p>
        </w:tc>
        <w:tc>
          <w:tcPr>
            <w:tcW w:type="dxa" w:w="1704"/>
          </w:tcPr>
          <w:p>
            <w:r>
              <w:t>no</w:t>
            </w:r>
          </w:p>
        </w:tc>
      </w:tr>
      <w:tr>
        <w:tc>
          <w:tcPr>
            <w:tcW w:type="dxa" w:w="1704"/>
          </w:tcPr>
          <w:p>
            <w:r>
              <w:t>12</w:t>
            </w:r>
          </w:p>
        </w:tc>
        <w:tc>
          <w:tcPr>
            <w:tcW w:type="dxa" w:w="1704"/>
          </w:tcPr>
          <w:p>
            <w:r>
              <w:t>1.256</w:t>
            </w:r>
          </w:p>
        </w:tc>
        <w:tc>
          <w:tcPr>
            <w:tcW w:type="dxa" w:w="1704"/>
          </w:tcPr>
          <w:p>
            <w:r>
              <w:t>5.395</w:t>
            </w:r>
          </w:p>
        </w:tc>
        <w:tc>
          <w:tcPr>
            <w:tcW w:type="dxa" w:w="1704"/>
          </w:tcPr>
          <w:p>
            <w:r>
              <w:t>0.597</w:t>
            </w:r>
          </w:p>
        </w:tc>
        <w:tc>
          <w:tcPr>
            <w:tcW w:type="dxa" w:w="1704"/>
          </w:tcPr>
          <w:p>
            <w:r>
              <w:t>0.572</w:t>
            </w:r>
          </w:p>
        </w:tc>
        <w:tc>
          <w:tcPr>
            <w:tcW w:type="dxa" w:w="1704"/>
          </w:tcPr>
          <w:p>
            <w:r>
              <w:t>no</w:t>
            </w:r>
          </w:p>
        </w:tc>
      </w:tr>
      <w:tr>
        <w:tc>
          <w:tcPr>
            <w:tcW w:type="dxa" w:w="1704"/>
          </w:tcPr>
          <w:p>
            <w:r>
              <w:t>16</w:t>
            </w:r>
          </w:p>
        </w:tc>
        <w:tc>
          <w:tcPr>
            <w:tcW w:type="dxa" w:w="1704"/>
          </w:tcPr>
          <w:p>
            <w:r>
              <w:t>1.271</w:t>
            </w:r>
          </w:p>
        </w:tc>
        <w:tc>
          <w:tcPr>
            <w:tcW w:type="dxa" w:w="1704"/>
          </w:tcPr>
          <w:p>
            <w:r>
              <w:t>5.352</w:t>
            </w:r>
          </w:p>
        </w:tc>
        <w:tc>
          <w:tcPr>
            <w:tcW w:type="dxa" w:w="1704"/>
          </w:tcPr>
          <w:p>
            <w:r>
              <w:t>0.668</w:t>
            </w:r>
          </w:p>
        </w:tc>
        <w:tc>
          <w:tcPr>
            <w:tcW w:type="dxa" w:w="1704"/>
          </w:tcPr>
          <w:p>
            <w:r>
              <w:t>0.498</w:t>
            </w:r>
          </w:p>
        </w:tc>
        <w:tc>
          <w:tcPr>
            <w:tcW w:type="dxa" w:w="1704"/>
          </w:tcPr>
          <w:p>
            <w:r>
              <w:t>yes</w:t>
            </w:r>
          </w:p>
        </w:tc>
      </w:tr>
      <w:tr>
        <w:tc>
          <w:tcPr>
            <w:tcW w:type="dxa" w:w="1704"/>
          </w:tcPr>
          <w:p>
            <w:r>
              <w:t>20</w:t>
            </w:r>
          </w:p>
        </w:tc>
        <w:tc>
          <w:tcPr>
            <w:tcW w:type="dxa" w:w="1704"/>
          </w:tcPr>
          <w:p>
            <w:r>
              <w:t>1.319</w:t>
            </w:r>
          </w:p>
        </w:tc>
        <w:tc>
          <w:tcPr>
            <w:tcW w:type="dxa" w:w="1704"/>
          </w:tcPr>
          <w:p>
            <w:r>
              <w:t>4.857</w:t>
            </w:r>
          </w:p>
        </w:tc>
        <w:tc>
          <w:tcPr>
            <w:tcW w:type="dxa" w:w="1704"/>
          </w:tcPr>
          <w:p>
            <w:r>
              <w:t>0.814</w:t>
            </w:r>
          </w:p>
        </w:tc>
        <w:tc>
          <w:tcPr>
            <w:tcW w:type="dxa" w:w="1704"/>
          </w:tcPr>
          <w:p>
            <w:r>
              <w:t>0.388</w:t>
            </w:r>
          </w:p>
        </w:tc>
        <w:tc>
          <w:tcPr>
            <w:tcW w:type="dxa" w:w="1704"/>
          </w:tcPr>
          <w:p>
            <w:r>
              <w:t>yes</w:t>
            </w:r>
          </w:p>
        </w:tc>
      </w:tr>
      <w:tr>
        <w:tc>
          <w:tcPr>
            <w:tcW w:type="dxa" w:w="1704"/>
          </w:tcPr>
          <w:p>
            <w:r>
              <w:t>24</w:t>
            </w:r>
          </w:p>
        </w:tc>
        <w:tc>
          <w:tcPr>
            <w:tcW w:type="dxa" w:w="1704"/>
          </w:tcPr>
          <w:p>
            <w:r>
              <w:t>1.374</w:t>
            </w:r>
          </w:p>
        </w:tc>
        <w:tc>
          <w:tcPr>
            <w:tcW w:type="dxa" w:w="1704"/>
          </w:tcPr>
          <w:p>
            <w:r>
              <w:t>4.535</w:t>
            </w:r>
          </w:p>
        </w:tc>
        <w:tc>
          <w:tcPr>
            <w:tcW w:type="dxa" w:w="1704"/>
          </w:tcPr>
          <w:p>
            <w:r>
              <w:t>0.956</w:t>
            </w:r>
          </w:p>
        </w:tc>
        <w:tc>
          <w:tcPr>
            <w:tcW w:type="dxa" w:w="1704"/>
          </w:tcPr>
          <w:p>
            <w:r>
              <w:t>0.267</w:t>
            </w:r>
          </w:p>
        </w:tc>
        <w:tc>
          <w:tcPr>
            <w:tcW w:type="dxa" w:w="1704"/>
          </w:tcPr>
          <w:p>
            <w:r>
              <w:t>yes</w:t>
            </w:r>
          </w:p>
        </w:tc>
      </w:tr>
      <w:tr>
        <w:tc>
          <w:tcPr>
            <w:tcW w:type="dxa" w:w="1704"/>
          </w:tcPr>
          <w:p>
            <w:r>
              <w:t>28</w:t>
            </w:r>
          </w:p>
        </w:tc>
        <w:tc>
          <w:tcPr>
            <w:tcW w:type="dxa" w:w="1704"/>
          </w:tcPr>
          <w:p>
            <w:r>
              <w:t>1.286</w:t>
            </w:r>
          </w:p>
        </w:tc>
        <w:tc>
          <w:tcPr>
            <w:tcW w:type="dxa" w:w="1704"/>
          </w:tcPr>
          <w:p>
            <w:r>
              <w:t>2.938</w:t>
            </w:r>
          </w:p>
        </w:tc>
        <w:tc>
          <w:tcPr>
            <w:tcW w:type="dxa" w:w="1704"/>
          </w:tcPr>
          <w:p>
            <w:r>
              <w:t>1.000</w:t>
            </w:r>
          </w:p>
        </w:tc>
        <w:tc>
          <w:tcPr>
            <w:tcW w:type="dxa" w:w="1704"/>
          </w:tcPr>
          <w:p>
            <w:r>
              <w:t>0.136</w:t>
            </w:r>
          </w:p>
        </w:tc>
        <w:tc>
          <w:tcPr>
            <w:tcW w:type="dxa" w:w="1704"/>
          </w:tcPr>
          <w:p>
            <w:r>
              <w:t>yes</w:t>
            </w:r>
          </w:p>
        </w:tc>
      </w:tr>
      <w:tr>
        <w:tc>
          <w:tcPr>
            <w:tcW w:type="dxa" w:w="1704"/>
          </w:tcPr>
          <w:p>
            <w:r>
              <w:t>32</w:t>
            </w:r>
          </w:p>
        </w:tc>
        <w:tc>
          <w:tcPr>
            <w:tcW w:type="dxa" w:w="1704"/>
          </w:tcPr>
          <w:p>
            <w:r>
              <w:t>1.172</w:t>
            </w:r>
          </w:p>
        </w:tc>
        <w:tc>
          <w:tcPr>
            <w:tcW w:type="dxa" w:w="1704"/>
          </w:tcPr>
          <w:p>
            <w:r>
              <w:t>0.009</w:t>
            </w:r>
          </w:p>
        </w:tc>
        <w:tc>
          <w:tcPr>
            <w:tcW w:type="dxa" w:w="1704"/>
          </w:tcPr>
          <w:p>
            <w:r>
              <w:t>1.000</w:t>
            </w:r>
          </w:p>
        </w:tc>
        <w:tc>
          <w:tcPr>
            <w:tcW w:type="dxa" w:w="1704"/>
          </w:tcPr>
          <w:p>
            <w:r>
              <w:t>0.000</w:t>
            </w:r>
          </w:p>
        </w:tc>
        <w:tc>
          <w:tcPr>
            <w:tcW w:type="dxa" w:w="1704"/>
          </w:tcPr>
          <w:p>
            <w:r>
              <w:t>yes</w:t>
            </w:r>
          </w:p>
        </w:tc>
      </w:tr>
    </w:tbl>
    <w:p>
      <w:pPr>
        <w:pStyle w:val="Heading1"/>
      </w:pPr>
      <w:r>
        <w:t>Next Step</w:t>
      </w:r>
    </w:p>
    <w:p>
      <w:r>
        <w:t>Repeat the same two objective plots and tables across equal arrival rates (lambda_1=lambda_2 in 20, 25, 35, 50) to see how demand changes the shape of the curves and the served-rate flags.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