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6AB" w:rsidRDefault="00407ECD">
      <w:pPr>
        <w:pStyle w:val="BodyText"/>
      </w:pPr>
      <w:r w:rsidRPr="00407ECD">
        <w:t>21.06.2015 tarihli ve 29393 sayılı Resmi Gazete’de yayınlanmıştır.</w:t>
      </w:r>
    </w:p>
    <w:p w:rsidR="00407ECD" w:rsidRDefault="00407ECD" w:rsidP="00407ECD">
      <w:pPr>
        <w:rPr>
          <w:b/>
          <w:sz w:val="24"/>
          <w:u w:val="single"/>
        </w:rPr>
      </w:pPr>
    </w:p>
    <w:p w:rsidR="00D946AB" w:rsidRDefault="0069319E" w:rsidP="00407ECD">
      <w:pPr>
        <w:rPr>
          <w:b/>
          <w:sz w:val="24"/>
        </w:rPr>
      </w:pPr>
      <w:r>
        <w:rPr>
          <w:b/>
          <w:sz w:val="24"/>
          <w:u w:val="single"/>
        </w:rPr>
        <w:t>Enerji</w:t>
      </w:r>
      <w:r>
        <w:rPr>
          <w:b/>
          <w:spacing w:val="-2"/>
          <w:sz w:val="24"/>
          <w:u w:val="single"/>
        </w:rPr>
        <w:t xml:space="preserve"> </w:t>
      </w:r>
      <w:r>
        <w:rPr>
          <w:b/>
          <w:sz w:val="24"/>
          <w:u w:val="single"/>
        </w:rPr>
        <w:t>Piyasası</w:t>
      </w:r>
      <w:r>
        <w:rPr>
          <w:b/>
          <w:spacing w:val="-2"/>
          <w:sz w:val="24"/>
          <w:u w:val="single"/>
        </w:rPr>
        <w:t xml:space="preserve"> </w:t>
      </w:r>
      <w:r>
        <w:rPr>
          <w:b/>
          <w:sz w:val="24"/>
          <w:u w:val="single"/>
        </w:rPr>
        <w:t>Düzenleme</w:t>
      </w:r>
      <w:r>
        <w:rPr>
          <w:b/>
          <w:spacing w:val="-2"/>
          <w:sz w:val="24"/>
          <w:u w:val="single"/>
        </w:rPr>
        <w:t xml:space="preserve"> </w:t>
      </w:r>
      <w:r>
        <w:rPr>
          <w:b/>
          <w:sz w:val="24"/>
          <w:u w:val="single"/>
        </w:rPr>
        <w:t>Kurumundan</w:t>
      </w:r>
      <w:r>
        <w:rPr>
          <w:b/>
          <w:spacing w:val="-2"/>
          <w:sz w:val="24"/>
          <w:u w:val="single"/>
        </w:rPr>
        <w:t xml:space="preserve"> </w:t>
      </w:r>
      <w:r>
        <w:rPr>
          <w:b/>
          <w:spacing w:val="-10"/>
          <w:sz w:val="24"/>
          <w:u w:val="single"/>
        </w:rPr>
        <w:t>:</w:t>
      </w:r>
    </w:p>
    <w:p w:rsidR="00D946AB" w:rsidRDefault="00D946AB">
      <w:pPr>
        <w:pStyle w:val="BodyText"/>
        <w:rPr>
          <w:b/>
          <w:sz w:val="20"/>
        </w:rPr>
      </w:pPr>
    </w:p>
    <w:p w:rsidR="00D946AB" w:rsidRDefault="00D946AB">
      <w:pPr>
        <w:pStyle w:val="BodyText"/>
        <w:spacing w:before="2"/>
        <w:rPr>
          <w:b/>
          <w:sz w:val="20"/>
        </w:rPr>
      </w:pPr>
    </w:p>
    <w:p w:rsidR="00D946AB" w:rsidRDefault="0069319E">
      <w:pPr>
        <w:pStyle w:val="Heading1"/>
        <w:spacing w:before="90"/>
        <w:ind w:left="1432" w:right="1432"/>
        <w:jc w:val="center"/>
      </w:pPr>
      <w:r>
        <w:t xml:space="preserve">KURUL </w:t>
      </w:r>
      <w:r>
        <w:rPr>
          <w:spacing w:val="-2"/>
        </w:rPr>
        <w:t>KARARI</w:t>
      </w:r>
    </w:p>
    <w:p w:rsidR="00D946AB" w:rsidRDefault="00D946AB">
      <w:pPr>
        <w:pStyle w:val="BodyText"/>
        <w:rPr>
          <w:b/>
          <w:sz w:val="26"/>
        </w:rPr>
      </w:pPr>
    </w:p>
    <w:p w:rsidR="00D946AB" w:rsidRDefault="00D946AB">
      <w:pPr>
        <w:pStyle w:val="BodyText"/>
        <w:rPr>
          <w:b/>
          <w:sz w:val="22"/>
        </w:rPr>
      </w:pPr>
    </w:p>
    <w:p w:rsidR="00D946AB" w:rsidRDefault="0069319E">
      <w:pPr>
        <w:tabs>
          <w:tab w:val="left" w:pos="6489"/>
        </w:tabs>
        <w:ind w:left="683" w:hanging="567"/>
        <w:rPr>
          <w:sz w:val="24"/>
        </w:rPr>
      </w:pPr>
      <w:r>
        <w:rPr>
          <w:b/>
          <w:sz w:val="24"/>
        </w:rPr>
        <w:t>Karar</w:t>
      </w:r>
      <w:r>
        <w:rPr>
          <w:b/>
          <w:spacing w:val="-1"/>
          <w:sz w:val="24"/>
        </w:rPr>
        <w:t xml:space="preserve"> </w:t>
      </w:r>
      <w:r w:rsidR="00B17DF4">
        <w:rPr>
          <w:b/>
          <w:sz w:val="24"/>
        </w:rPr>
        <w:t>No</w:t>
      </w:r>
      <w:r>
        <w:rPr>
          <w:b/>
          <w:sz w:val="24"/>
        </w:rPr>
        <w:t xml:space="preserve">: </w:t>
      </w:r>
      <w:r>
        <w:rPr>
          <w:sz w:val="24"/>
        </w:rPr>
        <w:t>5629-</w:t>
      </w:r>
      <w:r>
        <w:rPr>
          <w:spacing w:val="-5"/>
          <w:sz w:val="24"/>
        </w:rPr>
        <w:t>16</w:t>
      </w:r>
      <w:r>
        <w:rPr>
          <w:sz w:val="24"/>
        </w:rPr>
        <w:tab/>
      </w:r>
      <w:r>
        <w:rPr>
          <w:b/>
          <w:sz w:val="24"/>
        </w:rPr>
        <w:t>Karar</w:t>
      </w:r>
      <w:r>
        <w:rPr>
          <w:b/>
          <w:spacing w:val="-1"/>
          <w:sz w:val="24"/>
        </w:rPr>
        <w:t xml:space="preserve"> </w:t>
      </w:r>
      <w:r w:rsidR="00B17DF4">
        <w:rPr>
          <w:b/>
          <w:sz w:val="24"/>
        </w:rPr>
        <w:t>Tarihi:</w:t>
      </w:r>
      <w:r>
        <w:rPr>
          <w:spacing w:val="-2"/>
          <w:sz w:val="24"/>
        </w:rPr>
        <w:t>11/06/2015</w:t>
      </w:r>
    </w:p>
    <w:p w:rsidR="00D946AB" w:rsidRDefault="00D946AB">
      <w:pPr>
        <w:pStyle w:val="BodyText"/>
        <w:rPr>
          <w:sz w:val="26"/>
        </w:rPr>
      </w:pPr>
    </w:p>
    <w:p w:rsidR="00D946AB" w:rsidRDefault="00D946AB">
      <w:pPr>
        <w:pStyle w:val="BodyText"/>
        <w:rPr>
          <w:sz w:val="22"/>
        </w:rPr>
      </w:pPr>
    </w:p>
    <w:p w:rsidR="00D946AB" w:rsidRDefault="0069319E" w:rsidP="00B17DF4">
      <w:pPr>
        <w:pStyle w:val="BodyText"/>
        <w:ind w:left="116" w:right="115" w:firstLine="567"/>
        <w:jc w:val="both"/>
      </w:pPr>
      <w:r>
        <w:t>Enerji Piyasası Düzenleme Kurulunun 11/06/2015 tarihli toplantısında; ekteki Gün Öncesi Piyasasında ve Dengeleme Güç Piyasasında Asgari ve Azami Fiyat Limitlerinin Belirlenmesine İlişkin Usul ve Esasların onaylanmasına karar verilmiştir.</w:t>
      </w:r>
    </w:p>
    <w:p w:rsidR="00D946AB" w:rsidRDefault="00D946AB">
      <w:pPr>
        <w:pStyle w:val="BodyText"/>
        <w:rPr>
          <w:sz w:val="26"/>
        </w:rPr>
      </w:pPr>
    </w:p>
    <w:p w:rsidR="00D946AB" w:rsidRDefault="00D946AB">
      <w:pPr>
        <w:pStyle w:val="BodyText"/>
        <w:rPr>
          <w:sz w:val="26"/>
        </w:rPr>
      </w:pPr>
    </w:p>
    <w:p w:rsidR="00D946AB" w:rsidRDefault="00D946AB">
      <w:pPr>
        <w:pStyle w:val="BodyText"/>
        <w:rPr>
          <w:sz w:val="26"/>
        </w:rPr>
      </w:pPr>
    </w:p>
    <w:p w:rsidR="00D946AB" w:rsidRDefault="0069319E">
      <w:pPr>
        <w:pStyle w:val="Heading1"/>
        <w:spacing w:before="207"/>
      </w:pPr>
      <w:r>
        <w:rPr>
          <w:spacing w:val="-2"/>
        </w:rPr>
        <w:t>EKLER:</w:t>
      </w:r>
    </w:p>
    <w:p w:rsidR="00D946AB" w:rsidRDefault="0069319E">
      <w:pPr>
        <w:pStyle w:val="BodyText"/>
        <w:ind w:left="116"/>
      </w:pPr>
      <w:r>
        <w:rPr>
          <w:b/>
        </w:rPr>
        <w:t>EK-1</w:t>
      </w:r>
      <w:r>
        <w:rPr>
          <w:b/>
          <w:spacing w:val="40"/>
        </w:rPr>
        <w:t xml:space="preserve"> </w:t>
      </w:r>
      <w:r>
        <w:t>Gün</w:t>
      </w:r>
      <w:r>
        <w:rPr>
          <w:spacing w:val="40"/>
        </w:rPr>
        <w:t xml:space="preserve"> </w:t>
      </w:r>
      <w:r>
        <w:t>Öncesi</w:t>
      </w:r>
      <w:r>
        <w:rPr>
          <w:spacing w:val="40"/>
        </w:rPr>
        <w:t xml:space="preserve"> </w:t>
      </w:r>
      <w:r>
        <w:t>Piyasasında</w:t>
      </w:r>
      <w:r>
        <w:rPr>
          <w:spacing w:val="40"/>
        </w:rPr>
        <w:t xml:space="preserve"> </w:t>
      </w:r>
      <w:r>
        <w:t>Ve</w:t>
      </w:r>
      <w:r>
        <w:rPr>
          <w:spacing w:val="40"/>
        </w:rPr>
        <w:t xml:space="preserve"> </w:t>
      </w:r>
      <w:r>
        <w:t>Dengeleme</w:t>
      </w:r>
      <w:r>
        <w:rPr>
          <w:spacing w:val="40"/>
        </w:rPr>
        <w:t xml:space="preserve"> </w:t>
      </w:r>
      <w:r>
        <w:t>Güç</w:t>
      </w:r>
      <w:r>
        <w:rPr>
          <w:spacing w:val="40"/>
        </w:rPr>
        <w:t xml:space="preserve"> </w:t>
      </w:r>
      <w:r>
        <w:t>Piyasasında</w:t>
      </w:r>
      <w:r>
        <w:rPr>
          <w:spacing w:val="40"/>
        </w:rPr>
        <w:t xml:space="preserve"> </w:t>
      </w:r>
      <w:r>
        <w:t>Asgari</w:t>
      </w:r>
      <w:r>
        <w:rPr>
          <w:spacing w:val="40"/>
        </w:rPr>
        <w:t xml:space="preserve"> </w:t>
      </w:r>
      <w:r>
        <w:t>Ve</w:t>
      </w:r>
      <w:r>
        <w:rPr>
          <w:spacing w:val="40"/>
        </w:rPr>
        <w:t xml:space="preserve"> </w:t>
      </w:r>
      <w:r>
        <w:t>Azami</w:t>
      </w:r>
      <w:r>
        <w:rPr>
          <w:spacing w:val="40"/>
        </w:rPr>
        <w:t xml:space="preserve"> </w:t>
      </w:r>
      <w:r>
        <w:t>Fiyat Limitlerinin Belirlenmesine İlişkin Usul Ve Esaslar.</w:t>
      </w:r>
    </w:p>
    <w:p w:rsidR="00D946AB" w:rsidRDefault="00D946AB">
      <w:pPr>
        <w:pStyle w:val="BodyText"/>
        <w:rPr>
          <w:sz w:val="26"/>
        </w:rPr>
      </w:pPr>
    </w:p>
    <w:p w:rsidR="00D946AB" w:rsidRDefault="00D946AB">
      <w:pPr>
        <w:pStyle w:val="BodyText"/>
        <w:rPr>
          <w:sz w:val="26"/>
        </w:rPr>
      </w:pPr>
    </w:p>
    <w:p w:rsidR="00D946AB" w:rsidRPr="00B17DF4" w:rsidRDefault="0069319E" w:rsidP="00B17DF4">
      <w:pPr>
        <w:jc w:val="center"/>
        <w:rPr>
          <w:b/>
          <w:sz w:val="24"/>
        </w:rPr>
      </w:pPr>
      <w:r w:rsidRPr="00806DE0">
        <w:rPr>
          <w:b/>
          <w:sz w:val="24"/>
        </w:rPr>
        <w:t>GÜN ÖNCESİ PİYASASINDA VE DENGELEME GÜÇ PİYASASINDA ASGARİ VE</w:t>
      </w:r>
      <w:r w:rsidR="00B17DF4">
        <w:rPr>
          <w:b/>
          <w:sz w:val="24"/>
        </w:rPr>
        <w:t xml:space="preserve"> </w:t>
      </w:r>
      <w:r>
        <w:rPr>
          <w:b/>
          <w:sz w:val="24"/>
        </w:rPr>
        <w:t>AZAMİ</w:t>
      </w:r>
      <w:r>
        <w:rPr>
          <w:b/>
          <w:spacing w:val="-3"/>
          <w:sz w:val="24"/>
        </w:rPr>
        <w:t xml:space="preserve"> </w:t>
      </w:r>
      <w:r>
        <w:rPr>
          <w:b/>
          <w:sz w:val="24"/>
        </w:rPr>
        <w:t>FİYAT</w:t>
      </w:r>
      <w:r>
        <w:rPr>
          <w:b/>
          <w:spacing w:val="-2"/>
          <w:sz w:val="24"/>
        </w:rPr>
        <w:t xml:space="preserve"> </w:t>
      </w:r>
      <w:r>
        <w:rPr>
          <w:b/>
          <w:sz w:val="24"/>
        </w:rPr>
        <w:t>LİMİTLERİNİN</w:t>
      </w:r>
      <w:r>
        <w:rPr>
          <w:b/>
          <w:spacing w:val="-1"/>
          <w:sz w:val="24"/>
        </w:rPr>
        <w:t xml:space="preserve"> </w:t>
      </w:r>
      <w:r>
        <w:rPr>
          <w:b/>
          <w:sz w:val="24"/>
        </w:rPr>
        <w:t>BELİRLENMESİNE</w:t>
      </w:r>
      <w:r w:rsidR="00B17DF4">
        <w:rPr>
          <w:b/>
          <w:sz w:val="24"/>
        </w:rPr>
        <w:t xml:space="preserve"> </w:t>
      </w:r>
      <w:r>
        <w:rPr>
          <w:b/>
          <w:sz w:val="24"/>
        </w:rPr>
        <w:t>İLİŞKİN</w:t>
      </w:r>
      <w:r w:rsidR="00B17DF4">
        <w:rPr>
          <w:b/>
          <w:spacing w:val="-1"/>
          <w:sz w:val="24"/>
        </w:rPr>
        <w:br/>
      </w:r>
      <w:r>
        <w:rPr>
          <w:b/>
          <w:sz w:val="24"/>
        </w:rPr>
        <w:t>USUL</w:t>
      </w:r>
      <w:r>
        <w:rPr>
          <w:b/>
          <w:spacing w:val="-1"/>
          <w:sz w:val="24"/>
        </w:rPr>
        <w:t xml:space="preserve"> </w:t>
      </w:r>
      <w:r>
        <w:rPr>
          <w:b/>
          <w:sz w:val="24"/>
        </w:rPr>
        <w:t>VE</w:t>
      </w:r>
      <w:r>
        <w:rPr>
          <w:b/>
          <w:spacing w:val="-2"/>
          <w:sz w:val="24"/>
        </w:rPr>
        <w:t xml:space="preserve"> ESASLAR</w:t>
      </w:r>
    </w:p>
    <w:p w:rsidR="00B17DF4" w:rsidRDefault="00B17DF4" w:rsidP="00B17DF4">
      <w:pPr>
        <w:ind w:firstLine="709"/>
        <w:rPr>
          <w:b/>
          <w:spacing w:val="-2"/>
          <w:sz w:val="24"/>
        </w:rPr>
      </w:pPr>
    </w:p>
    <w:p w:rsidR="00B17DF4" w:rsidRDefault="00B17DF4" w:rsidP="00B17DF4">
      <w:pPr>
        <w:ind w:firstLine="709"/>
        <w:rPr>
          <w:b/>
          <w:sz w:val="24"/>
        </w:rPr>
      </w:pPr>
    </w:p>
    <w:p w:rsidR="00D946AB" w:rsidRDefault="0069319E" w:rsidP="00B17DF4">
      <w:pPr>
        <w:pStyle w:val="BodyText"/>
        <w:ind w:right="113" w:firstLine="709"/>
        <w:jc w:val="both"/>
      </w:pPr>
      <w:r w:rsidRPr="00806DE0">
        <w:rPr>
          <w:b/>
        </w:rPr>
        <w:t>Amaç</w:t>
      </w:r>
    </w:p>
    <w:p w:rsidR="00D946AB" w:rsidRDefault="00B17DF4" w:rsidP="00B17DF4">
      <w:pPr>
        <w:pStyle w:val="BodyText"/>
        <w:ind w:right="113" w:firstLine="709"/>
        <w:jc w:val="both"/>
      </w:pPr>
      <w:r>
        <w:rPr>
          <w:b/>
        </w:rPr>
        <w:t>MADDE 1-</w:t>
      </w:r>
      <w:r w:rsidR="0069319E">
        <w:t xml:space="preserve"> (1) Bu usul ve esasların amacı, piyasa katılımcıları tarafından gün öncesi piyasası ve dengeleme güç piyasasında teklif edilecek alış ve satış tekliflerine ilişkin asgari ve azami fiyat limitlerinin, hâkim durumunun kötüye kullanımının önlenmesi ve serbest piyasa koşullarında rekabet ortamının tesis edilmesi ilkeleri çerçevesinde belirlenmesine ilişkin usulleri belirlemektir.</w:t>
      </w:r>
    </w:p>
    <w:p w:rsidR="00806DE0" w:rsidRDefault="00806DE0" w:rsidP="00B17DF4">
      <w:pPr>
        <w:pStyle w:val="BodyText"/>
        <w:ind w:right="113" w:firstLine="709"/>
        <w:jc w:val="both"/>
      </w:pPr>
    </w:p>
    <w:p w:rsidR="00D946AB" w:rsidRPr="00806DE0" w:rsidRDefault="0069319E" w:rsidP="00B17DF4">
      <w:pPr>
        <w:pStyle w:val="BodyText"/>
        <w:ind w:firstLine="709"/>
        <w:jc w:val="both"/>
        <w:rPr>
          <w:b/>
        </w:rPr>
      </w:pPr>
      <w:r w:rsidRPr="00806DE0">
        <w:rPr>
          <w:b/>
        </w:rPr>
        <w:t>Kapsam</w:t>
      </w:r>
    </w:p>
    <w:p w:rsidR="00D946AB" w:rsidRPr="00B17DF4" w:rsidRDefault="0069319E" w:rsidP="00B17DF4">
      <w:pPr>
        <w:pStyle w:val="BodyText"/>
        <w:ind w:firstLine="709"/>
        <w:jc w:val="both"/>
      </w:pPr>
      <w:r>
        <w:rPr>
          <w:b/>
        </w:rPr>
        <w:t>MADDE</w:t>
      </w:r>
      <w:r w:rsidR="00B17DF4">
        <w:rPr>
          <w:b/>
          <w:spacing w:val="65"/>
        </w:rPr>
        <w:t xml:space="preserve"> </w:t>
      </w:r>
      <w:r>
        <w:rPr>
          <w:b/>
        </w:rPr>
        <w:t>2</w:t>
      </w:r>
      <w:r w:rsidR="00B17DF4">
        <w:t>-</w:t>
      </w:r>
      <w:r>
        <w:rPr>
          <w:spacing w:val="68"/>
        </w:rPr>
        <w:t xml:space="preserve"> </w:t>
      </w:r>
      <w:r>
        <w:t>(1)</w:t>
      </w:r>
      <w:r>
        <w:rPr>
          <w:spacing w:val="68"/>
        </w:rPr>
        <w:t xml:space="preserve"> </w:t>
      </w:r>
      <w:r>
        <w:t>Bu</w:t>
      </w:r>
      <w:r>
        <w:rPr>
          <w:spacing w:val="67"/>
        </w:rPr>
        <w:t xml:space="preserve"> </w:t>
      </w:r>
      <w:r>
        <w:t>usul</w:t>
      </w:r>
      <w:r>
        <w:rPr>
          <w:spacing w:val="68"/>
        </w:rPr>
        <w:t xml:space="preserve"> </w:t>
      </w:r>
      <w:r>
        <w:t>ve</w:t>
      </w:r>
      <w:r>
        <w:rPr>
          <w:spacing w:val="68"/>
        </w:rPr>
        <w:t xml:space="preserve"> </w:t>
      </w:r>
      <w:r>
        <w:t>esaslar</w:t>
      </w:r>
      <w:r>
        <w:rPr>
          <w:spacing w:val="68"/>
        </w:rPr>
        <w:t xml:space="preserve"> </w:t>
      </w:r>
      <w:r>
        <w:t>gün</w:t>
      </w:r>
      <w:r>
        <w:rPr>
          <w:spacing w:val="67"/>
        </w:rPr>
        <w:t xml:space="preserve"> </w:t>
      </w:r>
      <w:r>
        <w:t>öncesi</w:t>
      </w:r>
      <w:r>
        <w:rPr>
          <w:spacing w:val="68"/>
        </w:rPr>
        <w:t xml:space="preserve"> </w:t>
      </w:r>
      <w:r>
        <w:t>piyasasında</w:t>
      </w:r>
      <w:r>
        <w:rPr>
          <w:spacing w:val="68"/>
        </w:rPr>
        <w:t xml:space="preserve"> </w:t>
      </w:r>
      <w:r>
        <w:t>ve</w:t>
      </w:r>
      <w:r>
        <w:rPr>
          <w:spacing w:val="68"/>
        </w:rPr>
        <w:t xml:space="preserve"> </w:t>
      </w:r>
      <w:r>
        <w:t>dengeleme</w:t>
      </w:r>
      <w:r>
        <w:rPr>
          <w:spacing w:val="68"/>
        </w:rPr>
        <w:t xml:space="preserve"> </w:t>
      </w:r>
      <w:r>
        <w:rPr>
          <w:spacing w:val="-5"/>
        </w:rPr>
        <w:t>güç</w:t>
      </w:r>
      <w:r w:rsidR="00B17DF4">
        <w:t xml:space="preserve"> </w:t>
      </w:r>
      <w:r>
        <w:t>piyasasında</w:t>
      </w:r>
      <w:r>
        <w:rPr>
          <w:spacing w:val="-4"/>
        </w:rPr>
        <w:t xml:space="preserve"> </w:t>
      </w:r>
      <w:r>
        <w:t>uygulanacak fiyat</w:t>
      </w:r>
      <w:r>
        <w:rPr>
          <w:spacing w:val="-1"/>
        </w:rPr>
        <w:t xml:space="preserve"> </w:t>
      </w:r>
      <w:r>
        <w:t>limitlerinin belirlenmesine</w:t>
      </w:r>
      <w:r>
        <w:rPr>
          <w:spacing w:val="-2"/>
        </w:rPr>
        <w:t xml:space="preserve"> </w:t>
      </w:r>
      <w:r>
        <w:t>ilişkin usulleri</w:t>
      </w:r>
      <w:r>
        <w:rPr>
          <w:spacing w:val="-1"/>
        </w:rPr>
        <w:t xml:space="preserve"> </w:t>
      </w:r>
      <w:r>
        <w:rPr>
          <w:spacing w:val="-2"/>
        </w:rPr>
        <w:t>kapsar.</w:t>
      </w:r>
    </w:p>
    <w:p w:rsidR="00806DE0" w:rsidRDefault="00806DE0" w:rsidP="00B17DF4">
      <w:pPr>
        <w:pStyle w:val="BodyText"/>
        <w:ind w:firstLine="709"/>
        <w:jc w:val="both"/>
      </w:pPr>
    </w:p>
    <w:p w:rsidR="00D946AB" w:rsidRPr="00806DE0" w:rsidRDefault="0069319E" w:rsidP="00B17DF4">
      <w:pPr>
        <w:pStyle w:val="BodyText"/>
        <w:ind w:firstLine="709"/>
        <w:jc w:val="both"/>
        <w:rPr>
          <w:b/>
        </w:rPr>
      </w:pPr>
      <w:r w:rsidRPr="00806DE0">
        <w:rPr>
          <w:b/>
        </w:rPr>
        <w:t>Dayanak</w:t>
      </w:r>
    </w:p>
    <w:p w:rsidR="00D946AB" w:rsidRDefault="0069319E" w:rsidP="00B17DF4">
      <w:pPr>
        <w:pStyle w:val="BodyText"/>
        <w:ind w:firstLine="709"/>
        <w:jc w:val="both"/>
      </w:pPr>
      <w:r>
        <w:rPr>
          <w:b/>
        </w:rPr>
        <w:t>MADDE</w:t>
      </w:r>
      <w:r w:rsidR="00B17DF4">
        <w:rPr>
          <w:b/>
        </w:rPr>
        <w:t xml:space="preserve"> </w:t>
      </w:r>
      <w:r>
        <w:rPr>
          <w:b/>
        </w:rPr>
        <w:t>3</w:t>
      </w:r>
      <w:r w:rsidR="00B17DF4">
        <w:t>-</w:t>
      </w:r>
      <w:r>
        <w:rPr>
          <w:spacing w:val="40"/>
        </w:rPr>
        <w:t xml:space="preserve"> </w:t>
      </w:r>
      <w:r>
        <w:t>(1)</w:t>
      </w:r>
      <w:r>
        <w:rPr>
          <w:spacing w:val="40"/>
        </w:rPr>
        <w:t xml:space="preserve"> </w:t>
      </w:r>
      <w:r>
        <w:t>Bu</w:t>
      </w:r>
      <w:r>
        <w:rPr>
          <w:spacing w:val="40"/>
        </w:rPr>
        <w:t xml:space="preserve"> </w:t>
      </w:r>
      <w:r>
        <w:t>usul</w:t>
      </w:r>
      <w:r>
        <w:rPr>
          <w:spacing w:val="40"/>
        </w:rPr>
        <w:t xml:space="preserve"> </w:t>
      </w:r>
      <w:r>
        <w:t>ve</w:t>
      </w:r>
      <w:r>
        <w:rPr>
          <w:spacing w:val="40"/>
        </w:rPr>
        <w:t xml:space="preserve"> </w:t>
      </w:r>
      <w:r>
        <w:t>esaslar</w:t>
      </w:r>
      <w:r>
        <w:rPr>
          <w:spacing w:val="40"/>
        </w:rPr>
        <w:t xml:space="preserve"> </w:t>
      </w:r>
      <w:r>
        <w:t>Elektrik</w:t>
      </w:r>
      <w:r>
        <w:rPr>
          <w:spacing w:val="40"/>
        </w:rPr>
        <w:t xml:space="preserve"> </w:t>
      </w:r>
      <w:r>
        <w:t>Piyasası</w:t>
      </w:r>
      <w:r>
        <w:rPr>
          <w:spacing w:val="40"/>
        </w:rPr>
        <w:t xml:space="preserve"> </w:t>
      </w:r>
      <w:r>
        <w:t>Dengeleme</w:t>
      </w:r>
      <w:r>
        <w:rPr>
          <w:spacing w:val="40"/>
        </w:rPr>
        <w:t xml:space="preserve"> </w:t>
      </w:r>
      <w:r>
        <w:t>ve</w:t>
      </w:r>
      <w:r>
        <w:rPr>
          <w:spacing w:val="40"/>
        </w:rPr>
        <w:t xml:space="preserve"> </w:t>
      </w:r>
      <w:r>
        <w:t>Uzlaştırma Yönetmeliğinin 54, 70 ve 135 inci maddelerine dayanılarak hazırlanmıştır.</w:t>
      </w:r>
    </w:p>
    <w:p w:rsidR="00806DE0" w:rsidRDefault="00806DE0" w:rsidP="00B17DF4">
      <w:pPr>
        <w:pStyle w:val="BodyText"/>
        <w:ind w:firstLine="709"/>
        <w:jc w:val="both"/>
      </w:pPr>
    </w:p>
    <w:p w:rsidR="00D946AB" w:rsidRPr="00806DE0" w:rsidRDefault="0069319E" w:rsidP="00B17DF4">
      <w:pPr>
        <w:pStyle w:val="BodyText"/>
        <w:ind w:firstLine="709"/>
        <w:jc w:val="both"/>
        <w:rPr>
          <w:b/>
        </w:rPr>
      </w:pPr>
      <w:r w:rsidRPr="00806DE0">
        <w:rPr>
          <w:b/>
        </w:rPr>
        <w:t>Uygulama Esasları</w:t>
      </w:r>
    </w:p>
    <w:p w:rsidR="00806DE0" w:rsidRDefault="00B17DF4" w:rsidP="00B17DF4">
      <w:pPr>
        <w:pStyle w:val="BodyText"/>
        <w:ind w:right="114" w:firstLine="709"/>
        <w:jc w:val="both"/>
      </w:pPr>
      <w:r>
        <w:rPr>
          <w:b/>
        </w:rPr>
        <w:t>MADDE 4-</w:t>
      </w:r>
      <w:r w:rsidR="0069319E">
        <w:t xml:space="preserve"> (1) EPİAŞ, piyasanın ihtiyaç duyduğu puant santrallerin sabit maliyetlerini</w:t>
      </w:r>
      <w:r w:rsidR="0069319E">
        <w:rPr>
          <w:spacing w:val="-2"/>
        </w:rPr>
        <w:t xml:space="preserve"> </w:t>
      </w:r>
      <w:r w:rsidR="0069319E">
        <w:t>karşılaması</w:t>
      </w:r>
      <w:r w:rsidR="0069319E">
        <w:rPr>
          <w:spacing w:val="-2"/>
        </w:rPr>
        <w:t xml:space="preserve"> </w:t>
      </w:r>
      <w:r w:rsidR="0069319E">
        <w:t>esaslı</w:t>
      </w:r>
      <w:r w:rsidR="0069319E">
        <w:rPr>
          <w:spacing w:val="-1"/>
        </w:rPr>
        <w:t xml:space="preserve"> </w:t>
      </w:r>
      <w:r w:rsidR="0069319E">
        <w:t>yöntem</w:t>
      </w:r>
      <w:r w:rsidR="0069319E">
        <w:rPr>
          <w:spacing w:val="-2"/>
        </w:rPr>
        <w:t xml:space="preserve"> </w:t>
      </w:r>
      <w:r w:rsidR="0069319E">
        <w:t>uyarınca</w:t>
      </w:r>
      <w:r w:rsidR="0069319E">
        <w:rPr>
          <w:spacing w:val="-1"/>
        </w:rPr>
        <w:t xml:space="preserve"> </w:t>
      </w:r>
      <w:r w:rsidR="0069319E">
        <w:t>azami</w:t>
      </w:r>
      <w:r w:rsidR="0069319E">
        <w:rPr>
          <w:spacing w:val="-1"/>
        </w:rPr>
        <w:t xml:space="preserve"> </w:t>
      </w:r>
      <w:r w:rsidR="0069319E">
        <w:t>fiyat</w:t>
      </w:r>
      <w:r w:rsidR="0069319E">
        <w:rPr>
          <w:spacing w:val="-1"/>
        </w:rPr>
        <w:t xml:space="preserve"> </w:t>
      </w:r>
      <w:r w:rsidR="0069319E">
        <w:t>limitlerinin</w:t>
      </w:r>
      <w:r w:rsidR="0069319E">
        <w:rPr>
          <w:spacing w:val="-1"/>
        </w:rPr>
        <w:t xml:space="preserve"> </w:t>
      </w:r>
      <w:r w:rsidR="0069319E">
        <w:t>belirlenmesine</w:t>
      </w:r>
      <w:r w:rsidR="0069319E">
        <w:rPr>
          <w:spacing w:val="-1"/>
        </w:rPr>
        <w:t xml:space="preserve"> </w:t>
      </w:r>
      <w:r w:rsidR="0069319E">
        <w:t>ilişkin çalışmasını Kuruma sunar. EPİAŞ söz konusu çalışmaya ek olarak Türkiye için olmayan elektriğin bedelini (VoLL) de hesaplar. İlgili çalışma ve VoLL değeri Kurul tarafından değerlendirilir ve uygun bulunması halinde onaylanır. Kurul gerekli görürse ilgili fiyat</w:t>
      </w:r>
      <w:r w:rsidR="0069319E">
        <w:rPr>
          <w:spacing w:val="80"/>
        </w:rPr>
        <w:t xml:space="preserve"> </w:t>
      </w:r>
      <w:r w:rsidR="0069319E">
        <w:t>limitini ve VoLL değerini değiştirerek de onaylayabilir.</w:t>
      </w:r>
    </w:p>
    <w:p w:rsidR="00806DE0" w:rsidRDefault="00806DE0" w:rsidP="00B17DF4">
      <w:pPr>
        <w:pStyle w:val="BodyText"/>
        <w:ind w:right="114" w:firstLine="709"/>
        <w:jc w:val="both"/>
      </w:pPr>
      <w:r w:rsidRPr="00806DE0">
        <w:lastRenderedPageBreak/>
        <w:t>(2)</w:t>
      </w:r>
      <w:r>
        <w:rPr>
          <w:b/>
        </w:rPr>
        <w:t xml:space="preserve"> </w:t>
      </w:r>
      <w:r w:rsidR="0069319E">
        <w:t>Gün</w:t>
      </w:r>
      <w:r w:rsidR="0069319E">
        <w:rPr>
          <w:spacing w:val="32"/>
        </w:rPr>
        <w:t xml:space="preserve"> </w:t>
      </w:r>
      <w:r w:rsidR="0069319E">
        <w:t>öncesi</w:t>
      </w:r>
      <w:r w:rsidR="0069319E">
        <w:rPr>
          <w:spacing w:val="32"/>
        </w:rPr>
        <w:t xml:space="preserve"> </w:t>
      </w:r>
      <w:r w:rsidR="0069319E">
        <w:t>piyasa</w:t>
      </w:r>
      <w:r w:rsidR="0069319E">
        <w:rPr>
          <w:spacing w:val="32"/>
        </w:rPr>
        <w:t xml:space="preserve"> </w:t>
      </w:r>
      <w:r w:rsidR="0069319E">
        <w:t>fiyatları</w:t>
      </w:r>
      <w:r w:rsidR="0069319E">
        <w:rPr>
          <w:spacing w:val="32"/>
        </w:rPr>
        <w:t xml:space="preserve"> </w:t>
      </w:r>
      <w:r w:rsidR="0069319E">
        <w:t>bir</w:t>
      </w:r>
      <w:r w:rsidR="0069319E">
        <w:rPr>
          <w:spacing w:val="32"/>
        </w:rPr>
        <w:t xml:space="preserve"> </w:t>
      </w:r>
      <w:r w:rsidR="0069319E">
        <w:t>takvim</w:t>
      </w:r>
      <w:r w:rsidR="0069319E">
        <w:rPr>
          <w:spacing w:val="32"/>
        </w:rPr>
        <w:t xml:space="preserve"> </w:t>
      </w:r>
      <w:r w:rsidR="0069319E">
        <w:t>ayı</w:t>
      </w:r>
      <w:r w:rsidR="0069319E">
        <w:rPr>
          <w:spacing w:val="32"/>
        </w:rPr>
        <w:t xml:space="preserve"> </w:t>
      </w:r>
      <w:r w:rsidR="0069319E">
        <w:t>içerisinde,</w:t>
      </w:r>
      <w:r w:rsidR="0069319E">
        <w:rPr>
          <w:spacing w:val="32"/>
        </w:rPr>
        <w:t xml:space="preserve"> </w:t>
      </w:r>
      <w:r w:rsidR="0069319E">
        <w:t>belirlenen</w:t>
      </w:r>
      <w:r w:rsidR="0069319E">
        <w:rPr>
          <w:spacing w:val="32"/>
        </w:rPr>
        <w:t xml:space="preserve"> </w:t>
      </w:r>
      <w:r w:rsidR="0069319E">
        <w:t>azami</w:t>
      </w:r>
      <w:r w:rsidR="0069319E">
        <w:rPr>
          <w:spacing w:val="32"/>
        </w:rPr>
        <w:t xml:space="preserve"> </w:t>
      </w:r>
      <w:r w:rsidR="0069319E">
        <w:t>fiyata</w:t>
      </w:r>
      <w:r w:rsidR="0069319E">
        <w:rPr>
          <w:spacing w:val="32"/>
        </w:rPr>
        <w:t xml:space="preserve"> </w:t>
      </w:r>
      <w:r w:rsidR="0069319E">
        <w:t>20 saat için ulaştığında azami fiyat %20 oranında azaltılarak güncellenir. Bu işleme nihai azami</w:t>
      </w:r>
      <w:r w:rsidR="00B17DF4">
        <w:t xml:space="preserve"> </w:t>
      </w:r>
      <w:r w:rsidR="0069319E">
        <w:t>fiyat VoLL değerinin %12,5’ine ulaşana kadar devam edilir. Azaltma suretiyle güncelleme yapıldığı hallerde 1 Nisan ve 1 Ekim tarihlerinde azami fiyat yeniden Kurul tarafından onaylanan değere eşitlenir.</w:t>
      </w:r>
    </w:p>
    <w:p w:rsidR="00806DE0" w:rsidRDefault="00806DE0" w:rsidP="00B17DF4">
      <w:pPr>
        <w:pStyle w:val="BodyText"/>
        <w:ind w:right="114" w:firstLine="709"/>
        <w:jc w:val="both"/>
      </w:pPr>
      <w:r>
        <w:t xml:space="preserve">(3) </w:t>
      </w:r>
      <w:r w:rsidR="0069319E">
        <w:t>Kurul EPİAŞ tarafından sunulan çalışma kapsamında ya da gerek görmesi halinde 20 saat değerini, %20 ve %12,5 oranlarını piyasanın ihtiyaç duyduğu puant santrallerin sabit maliyetlerini karşılaması esaslına bağlı kalarak güncelleyebilir.</w:t>
      </w:r>
    </w:p>
    <w:p w:rsidR="00806DE0" w:rsidRDefault="00806DE0" w:rsidP="00B17DF4">
      <w:pPr>
        <w:pStyle w:val="BodyText"/>
        <w:ind w:right="114" w:firstLine="709"/>
        <w:jc w:val="both"/>
      </w:pPr>
      <w:r>
        <w:t xml:space="preserve">(4) </w:t>
      </w:r>
      <w:r w:rsidR="0069319E">
        <w:t>Asgari fiyat limitleri piyasa koşulları çerçevesinde 0 TL/MWh ya da daha az olacak şekilde belirlenir. EPİAŞ asgari fiyat limitinin belirlenmesine ilişkin talebine esas çalışmasını Kuruma sunar. İlgili çalışma Kurul tarafından değerlendirilir ve uygun bulunması halinde onaylanır. Kurul gerekli görürse ilgili fiyat limitini değiştirerek de onaylayabilir.</w:t>
      </w:r>
    </w:p>
    <w:p w:rsidR="00D946AB" w:rsidRDefault="00806DE0" w:rsidP="00B17DF4">
      <w:pPr>
        <w:pStyle w:val="BodyText"/>
        <w:ind w:right="114" w:firstLine="709"/>
        <w:jc w:val="both"/>
      </w:pPr>
      <w:r>
        <w:t xml:space="preserve">(5) </w:t>
      </w:r>
      <w:r w:rsidR="0069319E">
        <w:t>Fiyat limitleri ve diğer parametreler geçerlilik tarihleri ilgili Kurul kararında özel olarak belirtilmediği takdirde onayını takip eden ilk takvim ayının başlangıcından itibaren geçerli olur.</w:t>
      </w:r>
    </w:p>
    <w:p w:rsidR="00806DE0" w:rsidRDefault="00806DE0" w:rsidP="00B17DF4">
      <w:pPr>
        <w:pStyle w:val="BodyText"/>
        <w:ind w:right="114" w:firstLine="709"/>
        <w:jc w:val="both"/>
      </w:pPr>
    </w:p>
    <w:p w:rsidR="00D946AB" w:rsidRPr="00806DE0" w:rsidRDefault="0069319E" w:rsidP="00B17DF4">
      <w:pPr>
        <w:pStyle w:val="BodyText"/>
        <w:ind w:right="113" w:firstLine="709"/>
        <w:jc w:val="both"/>
        <w:rPr>
          <w:b/>
        </w:rPr>
      </w:pPr>
      <w:r w:rsidRPr="00806DE0">
        <w:rPr>
          <w:b/>
        </w:rPr>
        <w:t>Rekabete aykırı eylem ve işlemler</w:t>
      </w:r>
    </w:p>
    <w:p w:rsidR="00806DE0" w:rsidRDefault="00B17DF4" w:rsidP="00B17DF4">
      <w:pPr>
        <w:pStyle w:val="BodyText"/>
        <w:ind w:right="113" w:firstLine="709"/>
        <w:jc w:val="both"/>
      </w:pPr>
      <w:r>
        <w:rPr>
          <w:b/>
        </w:rPr>
        <w:t>MADDE 5</w:t>
      </w:r>
      <w:r>
        <w:t xml:space="preserve">- </w:t>
      </w:r>
      <w:r w:rsidR="0069319E">
        <w:t>(1) Dengeleme güç piyasası kapsamında rekabete aykırı eylem ve işlem içerisinde oldukları Rekabet Kurumunca tespit edilen dengeleme birimlerinin azami fiyat limitleri Kurul tarafından marjinal maliyetlerine eşit olacak şekilde belirlenir. Piyasa katılımcısı ilgili tespiti takip eden 15 iş günü içerisinde marjinal maliyetlerine ilişkin detaylı çalışmayı dengeleme birimi bazında Kuruma sunmakla yükümlüdür. İlgili çalışma Kurul tarafından değerlendirilir ve uygun bulunması halinde onaylanır. Kurul gerekli görürse ilgili fiyat limitini değiştirerek de onaylayabilir.</w:t>
      </w:r>
    </w:p>
    <w:p w:rsidR="00806DE0" w:rsidRDefault="00806DE0" w:rsidP="00B17DF4">
      <w:pPr>
        <w:pStyle w:val="BodyText"/>
        <w:ind w:right="113" w:firstLine="709"/>
        <w:jc w:val="both"/>
      </w:pPr>
      <w:r w:rsidRPr="00806DE0">
        <w:t>(2)</w:t>
      </w:r>
      <w:r>
        <w:rPr>
          <w:b/>
        </w:rPr>
        <w:t xml:space="preserve"> </w:t>
      </w:r>
      <w:r w:rsidR="0069319E">
        <w:t>Gün öncesi piyasası kapsamında rekabete aykırı eylem ve işlem içerisinde oldukları Rekabet Kurumunca tespit edilen piyasa katılımcıları portföylerine ilişkin tüm fiyat, maliyet ve hacim bilgilerini de içeren veri setini ve açıklamalarını 15 gün içerisinde Kuruma sunmakla yükümlüdür. Söz konusu piyasa katılımcısına uygulanacak azami fiyat limitinin miktarı ve yapısı Kurum tarafından yapılacak çalışma neticesinde Kurul kararı ile belirlenir.</w:t>
      </w:r>
    </w:p>
    <w:p w:rsidR="00D946AB" w:rsidRDefault="00806DE0" w:rsidP="00B17DF4">
      <w:pPr>
        <w:pStyle w:val="BodyText"/>
        <w:ind w:right="113" w:firstLine="709"/>
        <w:jc w:val="both"/>
      </w:pPr>
      <w:r w:rsidRPr="00806DE0">
        <w:t>(3)</w:t>
      </w:r>
      <w:r>
        <w:rPr>
          <w:b/>
        </w:rPr>
        <w:t xml:space="preserve"> </w:t>
      </w:r>
      <w:r w:rsidR="0069319E">
        <w:t>Piyasa katılımcısının bu madde kapsamındaki bilgileri zamanında Kuruma sunmaması ve/veya Kurumu yanıltmaya yönelik bilgi ve belge sunması halinde ilgili tüzel</w:t>
      </w:r>
      <w:r w:rsidR="0069319E">
        <w:rPr>
          <w:spacing w:val="80"/>
        </w:rPr>
        <w:t xml:space="preserve"> </w:t>
      </w:r>
      <w:r w:rsidR="0069319E">
        <w:t>kişi hakkında Kanunun 16 ncı maddesi uyarınca yaptırım uygulanır.</w:t>
      </w:r>
    </w:p>
    <w:p w:rsidR="00806DE0" w:rsidRDefault="00806DE0" w:rsidP="00B17DF4">
      <w:pPr>
        <w:pStyle w:val="BodyText"/>
        <w:ind w:right="113" w:firstLine="709"/>
        <w:jc w:val="both"/>
      </w:pPr>
    </w:p>
    <w:p w:rsidR="00D946AB" w:rsidRPr="00806DE0" w:rsidRDefault="0069319E" w:rsidP="00B17DF4">
      <w:pPr>
        <w:pStyle w:val="BodyText"/>
        <w:ind w:right="113" w:firstLine="709"/>
        <w:jc w:val="both"/>
        <w:rPr>
          <w:b/>
        </w:rPr>
      </w:pPr>
      <w:r w:rsidRPr="00806DE0">
        <w:rPr>
          <w:b/>
        </w:rPr>
        <w:t>Fiyat limitlerinin revizyonu</w:t>
      </w:r>
    </w:p>
    <w:p w:rsidR="00D946AB" w:rsidRPr="00B17DF4" w:rsidRDefault="00B17DF4" w:rsidP="00B17DF4">
      <w:pPr>
        <w:pStyle w:val="BodyText"/>
        <w:ind w:firstLine="709"/>
        <w:jc w:val="both"/>
      </w:pPr>
      <w:r>
        <w:rPr>
          <w:b/>
        </w:rPr>
        <w:t>MADDE</w:t>
      </w:r>
      <w:r w:rsidR="0069319E">
        <w:rPr>
          <w:b/>
          <w:spacing w:val="64"/>
        </w:rPr>
        <w:t xml:space="preserve"> </w:t>
      </w:r>
      <w:r w:rsidR="0069319E">
        <w:rPr>
          <w:b/>
        </w:rPr>
        <w:t>6</w:t>
      </w:r>
      <w:r>
        <w:rPr>
          <w:b/>
          <w:spacing w:val="66"/>
        </w:rPr>
        <w:t>-</w:t>
      </w:r>
      <w:r w:rsidR="0069319E">
        <w:rPr>
          <w:b/>
          <w:spacing w:val="67"/>
        </w:rPr>
        <w:t xml:space="preserve"> </w:t>
      </w:r>
      <w:r w:rsidR="0069319E">
        <w:t>(1)</w:t>
      </w:r>
      <w:r w:rsidR="0069319E">
        <w:rPr>
          <w:spacing w:val="66"/>
        </w:rPr>
        <w:t xml:space="preserve"> </w:t>
      </w:r>
      <w:r w:rsidR="0069319E">
        <w:t>Asgari</w:t>
      </w:r>
      <w:r w:rsidR="0069319E">
        <w:rPr>
          <w:spacing w:val="66"/>
        </w:rPr>
        <w:t xml:space="preserve"> </w:t>
      </w:r>
      <w:r w:rsidR="0069319E">
        <w:t>ve</w:t>
      </w:r>
      <w:r w:rsidR="0069319E">
        <w:rPr>
          <w:spacing w:val="67"/>
        </w:rPr>
        <w:t xml:space="preserve"> </w:t>
      </w:r>
      <w:r w:rsidR="0069319E">
        <w:t>azami</w:t>
      </w:r>
      <w:r w:rsidR="0069319E">
        <w:rPr>
          <w:spacing w:val="66"/>
        </w:rPr>
        <w:t xml:space="preserve"> </w:t>
      </w:r>
      <w:r w:rsidR="0069319E">
        <w:t>fiyat</w:t>
      </w:r>
      <w:r w:rsidR="0069319E">
        <w:rPr>
          <w:spacing w:val="67"/>
        </w:rPr>
        <w:t xml:space="preserve"> </w:t>
      </w:r>
      <w:r w:rsidR="0069319E">
        <w:t>limitleri</w:t>
      </w:r>
      <w:r w:rsidR="0069319E">
        <w:rPr>
          <w:spacing w:val="66"/>
        </w:rPr>
        <w:t xml:space="preserve"> </w:t>
      </w:r>
      <w:r w:rsidR="0069319E">
        <w:t>EPİAŞ’ın</w:t>
      </w:r>
      <w:r w:rsidR="0069319E">
        <w:rPr>
          <w:spacing w:val="66"/>
        </w:rPr>
        <w:t xml:space="preserve"> </w:t>
      </w:r>
      <w:r w:rsidR="0069319E">
        <w:t>talep</w:t>
      </w:r>
      <w:r w:rsidR="0069319E">
        <w:rPr>
          <w:spacing w:val="67"/>
        </w:rPr>
        <w:t xml:space="preserve"> </w:t>
      </w:r>
      <w:r w:rsidR="0069319E">
        <w:t>etmesi</w:t>
      </w:r>
      <w:r w:rsidR="0069319E">
        <w:rPr>
          <w:spacing w:val="66"/>
        </w:rPr>
        <w:t xml:space="preserve"> </w:t>
      </w:r>
      <w:r w:rsidR="0069319E">
        <w:t>ve</w:t>
      </w:r>
      <w:r w:rsidR="0069319E">
        <w:rPr>
          <w:spacing w:val="67"/>
        </w:rPr>
        <w:t xml:space="preserve"> </w:t>
      </w:r>
      <w:r w:rsidR="0069319E">
        <w:rPr>
          <w:spacing w:val="-2"/>
        </w:rPr>
        <w:t>Kurul</w:t>
      </w:r>
      <w:r>
        <w:t xml:space="preserve"> </w:t>
      </w:r>
      <w:r w:rsidR="0069319E">
        <w:t>tarafından</w:t>
      </w:r>
      <w:r w:rsidR="0069319E">
        <w:rPr>
          <w:spacing w:val="-1"/>
        </w:rPr>
        <w:t xml:space="preserve"> </w:t>
      </w:r>
      <w:r w:rsidR="0069319E">
        <w:t>uygun bulunması</w:t>
      </w:r>
      <w:r w:rsidR="0069319E">
        <w:rPr>
          <w:spacing w:val="-1"/>
        </w:rPr>
        <w:t xml:space="preserve"> </w:t>
      </w:r>
      <w:r w:rsidR="0069319E">
        <w:t>halinde revize</w:t>
      </w:r>
      <w:r w:rsidR="0069319E">
        <w:rPr>
          <w:spacing w:val="-1"/>
        </w:rPr>
        <w:t xml:space="preserve"> </w:t>
      </w:r>
      <w:r w:rsidR="0069319E">
        <w:rPr>
          <w:spacing w:val="-2"/>
        </w:rPr>
        <w:t>edilebilir.</w:t>
      </w:r>
    </w:p>
    <w:p w:rsidR="00806DE0" w:rsidRDefault="00806DE0" w:rsidP="00B17DF4">
      <w:pPr>
        <w:pStyle w:val="BodyText"/>
        <w:ind w:firstLine="709"/>
        <w:jc w:val="both"/>
      </w:pPr>
    </w:p>
    <w:p w:rsidR="00D946AB" w:rsidRPr="00806DE0" w:rsidRDefault="0069319E" w:rsidP="00B17DF4">
      <w:pPr>
        <w:pStyle w:val="BodyText"/>
        <w:ind w:right="113" w:firstLine="709"/>
        <w:jc w:val="both"/>
        <w:rPr>
          <w:b/>
        </w:rPr>
      </w:pPr>
      <w:r w:rsidRPr="00806DE0">
        <w:rPr>
          <w:b/>
        </w:rPr>
        <w:t>İlk uygulamaya ilişkin esaslar</w:t>
      </w:r>
    </w:p>
    <w:p w:rsidR="00806DE0" w:rsidRDefault="00B17DF4" w:rsidP="00B17DF4">
      <w:pPr>
        <w:pStyle w:val="BodyText"/>
        <w:ind w:right="113" w:firstLine="709"/>
        <w:jc w:val="both"/>
      </w:pPr>
      <w:r>
        <w:rPr>
          <w:b/>
        </w:rPr>
        <w:t>GEÇİCİ MADDE 1-</w:t>
      </w:r>
      <w:r w:rsidR="0069319E">
        <w:rPr>
          <w:b/>
        </w:rPr>
        <w:t xml:space="preserve"> </w:t>
      </w:r>
      <w:r w:rsidR="0069319E">
        <w:t>(1)</w:t>
      </w:r>
      <w:r w:rsidR="00806DE0">
        <w:rPr>
          <w:spacing w:val="40"/>
        </w:rPr>
        <w:t xml:space="preserve"> </w:t>
      </w:r>
      <w:r w:rsidR="0069319E">
        <w:t>EPİAŞ bu usul ve esaslarda belirtilen çalışmaları en geç 1/1/2016 tarihine kadar Kuruma sunar.</w:t>
      </w:r>
    </w:p>
    <w:p w:rsidR="00806DE0" w:rsidRDefault="00806DE0" w:rsidP="00B17DF4">
      <w:pPr>
        <w:pStyle w:val="BodyText"/>
        <w:ind w:right="113" w:firstLine="709"/>
        <w:jc w:val="both"/>
        <w:rPr>
          <w:spacing w:val="-2"/>
        </w:rPr>
      </w:pPr>
      <w:r w:rsidRPr="00806DE0">
        <w:t>(2)</w:t>
      </w:r>
      <w:r>
        <w:rPr>
          <w:b/>
        </w:rPr>
        <w:t xml:space="preserve"> </w:t>
      </w:r>
      <w:r w:rsidR="0069319E">
        <w:t xml:space="preserve">Asgari ve azami fiyat limitleri bu usul ve esaslar çerçevesinde belirlenene kadar ilgili piyasalarda asgari fiyat limitleri 0 TL/MWh, azami fiyat limitleri 2000 TL/MWh olarak </w:t>
      </w:r>
      <w:r w:rsidR="0069319E">
        <w:rPr>
          <w:spacing w:val="-2"/>
        </w:rPr>
        <w:t>uygulanır.</w:t>
      </w:r>
    </w:p>
    <w:p w:rsidR="00806DE0" w:rsidRDefault="00806DE0" w:rsidP="00B17DF4">
      <w:pPr>
        <w:pStyle w:val="BodyText"/>
        <w:ind w:right="113" w:firstLine="709"/>
        <w:jc w:val="both"/>
        <w:rPr>
          <w:spacing w:val="-2"/>
        </w:rPr>
      </w:pPr>
      <w:r w:rsidRPr="00806DE0">
        <w:t>(3)</w:t>
      </w:r>
      <w:r w:rsidR="00196B0C">
        <w:rPr>
          <w:rStyle w:val="FootnoteReference"/>
        </w:rPr>
        <w:footnoteReference w:id="1"/>
      </w:r>
      <w:r w:rsidR="0069319E">
        <w:rPr>
          <w:spacing w:val="27"/>
          <w:position w:val="7"/>
          <w:sz w:val="16"/>
        </w:rPr>
        <w:t xml:space="preserve"> </w:t>
      </w:r>
      <w:r w:rsidR="0069319E">
        <w:t>06/01/2017</w:t>
      </w:r>
      <w:r w:rsidR="0069319E">
        <w:rPr>
          <w:spacing w:val="8"/>
        </w:rPr>
        <w:t xml:space="preserve"> </w:t>
      </w:r>
      <w:r w:rsidR="0069319E">
        <w:t>ilâ</w:t>
      </w:r>
      <w:r w:rsidR="0069319E">
        <w:rPr>
          <w:spacing w:val="7"/>
        </w:rPr>
        <w:t xml:space="preserve"> </w:t>
      </w:r>
      <w:r w:rsidR="0069319E">
        <w:t>01/03/2017</w:t>
      </w:r>
      <w:r w:rsidR="0069319E">
        <w:rPr>
          <w:spacing w:val="8"/>
        </w:rPr>
        <w:t xml:space="preserve"> </w:t>
      </w:r>
      <w:r w:rsidR="0069319E">
        <w:t>tarihleri</w:t>
      </w:r>
      <w:r w:rsidR="0069319E">
        <w:rPr>
          <w:spacing w:val="8"/>
        </w:rPr>
        <w:t xml:space="preserve"> </w:t>
      </w:r>
      <w:r w:rsidR="0069319E">
        <w:t>arasında</w:t>
      </w:r>
      <w:r w:rsidR="0069319E">
        <w:rPr>
          <w:spacing w:val="7"/>
        </w:rPr>
        <w:t xml:space="preserve"> </w:t>
      </w:r>
      <w:r w:rsidR="0069319E">
        <w:t>ilgili</w:t>
      </w:r>
      <w:r w:rsidR="0069319E">
        <w:rPr>
          <w:spacing w:val="8"/>
        </w:rPr>
        <w:t xml:space="preserve"> </w:t>
      </w:r>
      <w:r w:rsidR="0069319E">
        <w:t>piyasalarda</w:t>
      </w:r>
      <w:r w:rsidR="0069319E">
        <w:rPr>
          <w:spacing w:val="7"/>
        </w:rPr>
        <w:t xml:space="preserve"> </w:t>
      </w:r>
      <w:r w:rsidR="0069319E">
        <w:t>asgari</w:t>
      </w:r>
      <w:r w:rsidR="0069319E">
        <w:rPr>
          <w:spacing w:val="8"/>
        </w:rPr>
        <w:t xml:space="preserve"> </w:t>
      </w:r>
      <w:r w:rsidR="0069319E">
        <w:t>fiyat</w:t>
      </w:r>
      <w:r w:rsidR="0069319E">
        <w:rPr>
          <w:spacing w:val="8"/>
        </w:rPr>
        <w:t xml:space="preserve"> </w:t>
      </w:r>
      <w:r w:rsidR="0069319E">
        <w:rPr>
          <w:spacing w:val="-2"/>
        </w:rPr>
        <w:t>limitleri</w:t>
      </w:r>
      <w:r w:rsidR="00B17DF4">
        <w:rPr>
          <w:spacing w:val="-2"/>
        </w:rPr>
        <w:t xml:space="preserve"> </w:t>
      </w:r>
      <w:r w:rsidR="0069319E">
        <w:t>0</w:t>
      </w:r>
      <w:r w:rsidR="0069319E">
        <w:rPr>
          <w:spacing w:val="71"/>
        </w:rPr>
        <w:t xml:space="preserve"> </w:t>
      </w:r>
      <w:r w:rsidR="0069319E">
        <w:t>TL/MWh,</w:t>
      </w:r>
      <w:r w:rsidR="0069319E">
        <w:rPr>
          <w:spacing w:val="72"/>
        </w:rPr>
        <w:t xml:space="preserve"> </w:t>
      </w:r>
      <w:r w:rsidR="0069319E">
        <w:t>azami</w:t>
      </w:r>
      <w:r w:rsidR="0069319E">
        <w:rPr>
          <w:spacing w:val="71"/>
        </w:rPr>
        <w:t xml:space="preserve"> </w:t>
      </w:r>
      <w:r w:rsidR="0069319E">
        <w:t>fiyat</w:t>
      </w:r>
      <w:r w:rsidR="0069319E">
        <w:rPr>
          <w:spacing w:val="72"/>
        </w:rPr>
        <w:t xml:space="preserve"> </w:t>
      </w:r>
      <w:r w:rsidR="0069319E">
        <w:t>limitleri</w:t>
      </w:r>
      <w:r w:rsidR="0069319E">
        <w:rPr>
          <w:spacing w:val="72"/>
        </w:rPr>
        <w:t xml:space="preserve"> </w:t>
      </w:r>
      <w:r w:rsidR="0069319E">
        <w:t>ise</w:t>
      </w:r>
      <w:r w:rsidR="0069319E">
        <w:rPr>
          <w:spacing w:val="71"/>
        </w:rPr>
        <w:t xml:space="preserve"> </w:t>
      </w:r>
      <w:r w:rsidR="0069319E">
        <w:t>500</w:t>
      </w:r>
      <w:r w:rsidR="0069319E">
        <w:rPr>
          <w:spacing w:val="72"/>
        </w:rPr>
        <w:t xml:space="preserve"> </w:t>
      </w:r>
      <w:r w:rsidR="0069319E">
        <w:t>TL/MWh</w:t>
      </w:r>
      <w:r w:rsidR="0069319E">
        <w:rPr>
          <w:spacing w:val="73"/>
        </w:rPr>
        <w:t xml:space="preserve"> </w:t>
      </w:r>
      <w:r w:rsidR="0069319E">
        <w:t>olarak</w:t>
      </w:r>
      <w:r w:rsidR="0069319E">
        <w:rPr>
          <w:spacing w:val="71"/>
        </w:rPr>
        <w:t xml:space="preserve"> </w:t>
      </w:r>
      <w:r w:rsidR="0069319E">
        <w:t>uygulanır.</w:t>
      </w:r>
      <w:r w:rsidR="0069319E">
        <w:rPr>
          <w:spacing w:val="72"/>
        </w:rPr>
        <w:t xml:space="preserve"> </w:t>
      </w:r>
      <w:r w:rsidR="0069319E">
        <w:t>Belirtilen</w:t>
      </w:r>
      <w:r w:rsidR="0069319E">
        <w:rPr>
          <w:spacing w:val="73"/>
        </w:rPr>
        <w:t xml:space="preserve"> </w:t>
      </w:r>
      <w:r w:rsidR="0069319E">
        <w:rPr>
          <w:spacing w:val="-2"/>
        </w:rPr>
        <w:t>tarihler</w:t>
      </w:r>
      <w:r w:rsidR="00B17DF4">
        <w:rPr>
          <w:spacing w:val="-2"/>
        </w:rPr>
        <w:t xml:space="preserve"> </w:t>
      </w:r>
      <w:r w:rsidR="0069319E">
        <w:t>arasında</w:t>
      </w:r>
      <w:r w:rsidR="0069319E">
        <w:rPr>
          <w:spacing w:val="-1"/>
        </w:rPr>
        <w:t xml:space="preserve"> </w:t>
      </w:r>
      <w:r w:rsidR="0069319E">
        <w:t>bu</w:t>
      </w:r>
      <w:r w:rsidR="0069319E">
        <w:rPr>
          <w:spacing w:val="-1"/>
        </w:rPr>
        <w:t xml:space="preserve"> </w:t>
      </w:r>
      <w:r w:rsidR="0069319E">
        <w:t>Usul</w:t>
      </w:r>
      <w:r w:rsidR="0069319E">
        <w:rPr>
          <w:spacing w:val="-2"/>
        </w:rPr>
        <w:t xml:space="preserve"> </w:t>
      </w:r>
      <w:r w:rsidR="0069319E">
        <w:t>ve</w:t>
      </w:r>
      <w:r w:rsidR="0069319E">
        <w:rPr>
          <w:spacing w:val="-1"/>
        </w:rPr>
        <w:t xml:space="preserve"> </w:t>
      </w:r>
      <w:r w:rsidR="0069319E">
        <w:t>Esasların</w:t>
      </w:r>
      <w:r w:rsidR="0069319E">
        <w:rPr>
          <w:spacing w:val="-1"/>
        </w:rPr>
        <w:t xml:space="preserve"> </w:t>
      </w:r>
      <w:r w:rsidR="0069319E">
        <w:t>4 üncü</w:t>
      </w:r>
      <w:r w:rsidR="0069319E">
        <w:rPr>
          <w:spacing w:val="-1"/>
        </w:rPr>
        <w:t xml:space="preserve"> </w:t>
      </w:r>
      <w:r w:rsidR="0069319E">
        <w:t>maddesinin</w:t>
      </w:r>
      <w:r w:rsidR="0069319E">
        <w:rPr>
          <w:spacing w:val="-1"/>
        </w:rPr>
        <w:t xml:space="preserve"> </w:t>
      </w:r>
      <w:r w:rsidR="0069319E">
        <w:t>ikinci</w:t>
      </w:r>
      <w:r w:rsidR="0069319E">
        <w:rPr>
          <w:spacing w:val="-1"/>
        </w:rPr>
        <w:t xml:space="preserve"> </w:t>
      </w:r>
      <w:r w:rsidR="0069319E">
        <w:t>fıkrası</w:t>
      </w:r>
      <w:r w:rsidR="0069319E">
        <w:rPr>
          <w:spacing w:val="-1"/>
        </w:rPr>
        <w:t xml:space="preserve"> </w:t>
      </w:r>
      <w:r w:rsidR="0069319E">
        <w:t xml:space="preserve">hükümleri </w:t>
      </w:r>
      <w:r w:rsidR="0069319E">
        <w:rPr>
          <w:spacing w:val="-2"/>
        </w:rPr>
        <w:t>uygulanmaz.</w:t>
      </w:r>
    </w:p>
    <w:p w:rsidR="00806DE0" w:rsidRDefault="00B17DF4" w:rsidP="00B17DF4">
      <w:pPr>
        <w:pStyle w:val="BodyText"/>
        <w:ind w:right="113" w:firstLine="709"/>
        <w:jc w:val="both"/>
        <w:rPr>
          <w:spacing w:val="-2"/>
        </w:rPr>
      </w:pPr>
      <w:r>
        <w:rPr>
          <w:spacing w:val="-2"/>
        </w:rPr>
        <w:t>(4)</w:t>
      </w:r>
      <w:r w:rsidR="00196B0C">
        <w:rPr>
          <w:rStyle w:val="FootnoteReference"/>
          <w:spacing w:val="-2"/>
        </w:rPr>
        <w:footnoteReference w:id="2"/>
      </w:r>
      <w:r w:rsidR="00806DE0">
        <w:t xml:space="preserve"> 0</w:t>
      </w:r>
      <w:r w:rsidR="0069319E">
        <w:t>1/01/2020</w:t>
      </w:r>
      <w:r w:rsidR="0069319E">
        <w:rPr>
          <w:spacing w:val="8"/>
        </w:rPr>
        <w:t xml:space="preserve"> </w:t>
      </w:r>
      <w:r w:rsidR="0069319E">
        <w:t>ilâ</w:t>
      </w:r>
      <w:r w:rsidR="0069319E">
        <w:rPr>
          <w:spacing w:val="7"/>
        </w:rPr>
        <w:t xml:space="preserve"> </w:t>
      </w:r>
      <w:r w:rsidR="0069319E">
        <w:t>31/03/2020</w:t>
      </w:r>
      <w:r w:rsidR="0069319E">
        <w:rPr>
          <w:spacing w:val="8"/>
        </w:rPr>
        <w:t xml:space="preserve"> </w:t>
      </w:r>
      <w:r w:rsidR="0069319E">
        <w:t>tarihleri</w:t>
      </w:r>
      <w:r w:rsidR="0069319E">
        <w:rPr>
          <w:spacing w:val="8"/>
        </w:rPr>
        <w:t xml:space="preserve"> </w:t>
      </w:r>
      <w:r w:rsidR="0069319E">
        <w:t>arasında</w:t>
      </w:r>
      <w:r w:rsidR="0069319E">
        <w:rPr>
          <w:spacing w:val="7"/>
        </w:rPr>
        <w:t xml:space="preserve"> </w:t>
      </w:r>
      <w:r w:rsidR="0069319E">
        <w:t>ilgili</w:t>
      </w:r>
      <w:r w:rsidR="0069319E">
        <w:rPr>
          <w:spacing w:val="8"/>
        </w:rPr>
        <w:t xml:space="preserve"> </w:t>
      </w:r>
      <w:r w:rsidR="0069319E">
        <w:t>piyasalarda</w:t>
      </w:r>
      <w:r w:rsidR="0069319E">
        <w:rPr>
          <w:spacing w:val="7"/>
        </w:rPr>
        <w:t xml:space="preserve"> </w:t>
      </w:r>
      <w:r w:rsidR="0069319E">
        <w:t>asgari</w:t>
      </w:r>
      <w:r w:rsidR="0069319E">
        <w:rPr>
          <w:spacing w:val="8"/>
        </w:rPr>
        <w:t xml:space="preserve"> </w:t>
      </w:r>
      <w:r w:rsidR="0069319E">
        <w:t>fiyat</w:t>
      </w:r>
      <w:r w:rsidR="0069319E">
        <w:rPr>
          <w:spacing w:val="8"/>
        </w:rPr>
        <w:t xml:space="preserve"> </w:t>
      </w:r>
      <w:r w:rsidR="0069319E">
        <w:rPr>
          <w:spacing w:val="-2"/>
        </w:rPr>
        <w:t>limitleri</w:t>
      </w:r>
      <w:r w:rsidR="00806DE0">
        <w:rPr>
          <w:spacing w:val="-2"/>
        </w:rPr>
        <w:t xml:space="preserve"> </w:t>
      </w:r>
      <w:r w:rsidR="0069319E">
        <w:t>0</w:t>
      </w:r>
      <w:r w:rsidR="0069319E">
        <w:rPr>
          <w:spacing w:val="71"/>
        </w:rPr>
        <w:t xml:space="preserve"> </w:t>
      </w:r>
      <w:r w:rsidR="0069319E">
        <w:t>TL/MWh,</w:t>
      </w:r>
      <w:r w:rsidR="0069319E">
        <w:rPr>
          <w:spacing w:val="72"/>
        </w:rPr>
        <w:t xml:space="preserve"> </w:t>
      </w:r>
      <w:r w:rsidR="0069319E">
        <w:t>azami</w:t>
      </w:r>
      <w:r w:rsidR="0069319E">
        <w:rPr>
          <w:spacing w:val="71"/>
        </w:rPr>
        <w:t xml:space="preserve"> </w:t>
      </w:r>
      <w:r w:rsidR="0069319E">
        <w:t>fiyat</w:t>
      </w:r>
      <w:r w:rsidR="0069319E">
        <w:rPr>
          <w:spacing w:val="72"/>
        </w:rPr>
        <w:t xml:space="preserve"> </w:t>
      </w:r>
      <w:r w:rsidR="0069319E">
        <w:t>limitleri</w:t>
      </w:r>
      <w:r w:rsidR="0069319E">
        <w:rPr>
          <w:spacing w:val="72"/>
        </w:rPr>
        <w:t xml:space="preserve"> </w:t>
      </w:r>
      <w:r w:rsidR="0069319E">
        <w:t>ise</w:t>
      </w:r>
      <w:r w:rsidR="0069319E">
        <w:rPr>
          <w:spacing w:val="71"/>
        </w:rPr>
        <w:t xml:space="preserve"> </w:t>
      </w:r>
      <w:r w:rsidR="0069319E">
        <w:t>600</w:t>
      </w:r>
      <w:r w:rsidR="0069319E">
        <w:rPr>
          <w:spacing w:val="72"/>
        </w:rPr>
        <w:t xml:space="preserve"> </w:t>
      </w:r>
      <w:r w:rsidR="0069319E">
        <w:t>TL/MWh</w:t>
      </w:r>
      <w:r w:rsidR="0069319E">
        <w:rPr>
          <w:spacing w:val="73"/>
        </w:rPr>
        <w:t xml:space="preserve"> </w:t>
      </w:r>
      <w:r w:rsidR="0069319E">
        <w:t>olarak</w:t>
      </w:r>
      <w:r w:rsidR="0069319E">
        <w:rPr>
          <w:spacing w:val="71"/>
        </w:rPr>
        <w:t xml:space="preserve"> </w:t>
      </w:r>
      <w:r w:rsidR="0069319E">
        <w:t>uygulanır.</w:t>
      </w:r>
      <w:r w:rsidR="0069319E">
        <w:rPr>
          <w:spacing w:val="72"/>
        </w:rPr>
        <w:t xml:space="preserve"> </w:t>
      </w:r>
      <w:r w:rsidR="0069319E">
        <w:t>Belirtilen</w:t>
      </w:r>
      <w:r w:rsidR="0069319E">
        <w:rPr>
          <w:spacing w:val="73"/>
        </w:rPr>
        <w:t xml:space="preserve"> </w:t>
      </w:r>
      <w:r w:rsidR="0069319E">
        <w:rPr>
          <w:spacing w:val="-2"/>
        </w:rPr>
        <w:t>tarihler</w:t>
      </w:r>
      <w:r w:rsidR="00806DE0">
        <w:rPr>
          <w:spacing w:val="-2"/>
        </w:rPr>
        <w:t xml:space="preserve"> </w:t>
      </w:r>
      <w:r w:rsidR="0069319E">
        <w:lastRenderedPageBreak/>
        <w:t>arasında</w:t>
      </w:r>
      <w:r w:rsidR="0069319E">
        <w:rPr>
          <w:spacing w:val="-1"/>
        </w:rPr>
        <w:t xml:space="preserve"> </w:t>
      </w:r>
      <w:r w:rsidR="0069319E">
        <w:t>bu</w:t>
      </w:r>
      <w:r w:rsidR="0069319E">
        <w:rPr>
          <w:spacing w:val="-1"/>
        </w:rPr>
        <w:t xml:space="preserve"> </w:t>
      </w:r>
      <w:r w:rsidR="0069319E">
        <w:t>Usul</w:t>
      </w:r>
      <w:r w:rsidR="0069319E">
        <w:rPr>
          <w:spacing w:val="-2"/>
        </w:rPr>
        <w:t xml:space="preserve"> </w:t>
      </w:r>
      <w:r w:rsidR="0069319E">
        <w:t>ve</w:t>
      </w:r>
      <w:r w:rsidR="0069319E">
        <w:rPr>
          <w:spacing w:val="-1"/>
        </w:rPr>
        <w:t xml:space="preserve"> </w:t>
      </w:r>
      <w:r w:rsidR="0069319E">
        <w:t>Esasların</w:t>
      </w:r>
      <w:r w:rsidR="0069319E">
        <w:rPr>
          <w:spacing w:val="-1"/>
        </w:rPr>
        <w:t xml:space="preserve"> </w:t>
      </w:r>
      <w:r w:rsidR="0069319E">
        <w:t>4 üncü</w:t>
      </w:r>
      <w:r w:rsidR="0069319E">
        <w:rPr>
          <w:spacing w:val="-1"/>
        </w:rPr>
        <w:t xml:space="preserve"> </w:t>
      </w:r>
      <w:r w:rsidR="0069319E">
        <w:t>maddesinin</w:t>
      </w:r>
      <w:r w:rsidR="0069319E">
        <w:rPr>
          <w:spacing w:val="-1"/>
        </w:rPr>
        <w:t xml:space="preserve"> </w:t>
      </w:r>
      <w:r w:rsidR="0069319E">
        <w:t>ikinci</w:t>
      </w:r>
      <w:r w:rsidR="0069319E">
        <w:rPr>
          <w:spacing w:val="-1"/>
        </w:rPr>
        <w:t xml:space="preserve"> </w:t>
      </w:r>
      <w:r w:rsidR="0069319E">
        <w:t>fıkrası</w:t>
      </w:r>
      <w:r w:rsidR="0069319E">
        <w:rPr>
          <w:spacing w:val="-1"/>
        </w:rPr>
        <w:t xml:space="preserve"> </w:t>
      </w:r>
      <w:r w:rsidR="0069319E">
        <w:t xml:space="preserve">hükümleri </w:t>
      </w:r>
      <w:r w:rsidR="0069319E">
        <w:rPr>
          <w:spacing w:val="-2"/>
        </w:rPr>
        <w:t>uygulanmaz.</w:t>
      </w:r>
    </w:p>
    <w:p w:rsidR="00D946AB" w:rsidRDefault="00806DE0" w:rsidP="00B501A9">
      <w:pPr>
        <w:pStyle w:val="BodyText"/>
        <w:ind w:right="113" w:firstLine="709"/>
        <w:jc w:val="both"/>
      </w:pPr>
      <w:r>
        <w:rPr>
          <w:spacing w:val="-2"/>
        </w:rPr>
        <w:t>(5)</w:t>
      </w:r>
      <w:r>
        <w:rPr>
          <w:rStyle w:val="FootnoteReference"/>
          <w:lang w:eastAsia="tr-TR"/>
        </w:rPr>
        <w:footnoteReference w:id="3"/>
      </w:r>
      <w:r>
        <w:rPr>
          <w:vertAlign w:val="superscript"/>
          <w:lang w:eastAsia="tr-TR"/>
        </w:rPr>
        <w:t xml:space="preserve">, </w:t>
      </w:r>
      <w:r>
        <w:rPr>
          <w:rStyle w:val="FootnoteReference"/>
          <w:lang w:eastAsia="tr-TR"/>
        </w:rPr>
        <w:footnoteReference w:id="4"/>
      </w:r>
      <w:r>
        <w:rPr>
          <w:vertAlign w:val="superscript"/>
          <w:lang w:eastAsia="tr-TR"/>
        </w:rPr>
        <w:t>,</w:t>
      </w:r>
      <w:r w:rsidR="00785BCD">
        <w:rPr>
          <w:vertAlign w:val="superscript"/>
          <w:lang w:eastAsia="tr-TR"/>
        </w:rPr>
        <w:t xml:space="preserve"> </w:t>
      </w:r>
      <w:r w:rsidR="00785BCD">
        <w:rPr>
          <w:rStyle w:val="FootnoteReference"/>
          <w:lang w:eastAsia="tr-TR"/>
        </w:rPr>
        <w:footnoteReference w:id="5"/>
      </w:r>
      <w:r w:rsidR="00785BCD">
        <w:rPr>
          <w:vertAlign w:val="superscript"/>
          <w:lang w:eastAsia="tr-TR"/>
        </w:rPr>
        <w:t>,</w:t>
      </w:r>
      <w:r>
        <w:rPr>
          <w:vertAlign w:val="superscript"/>
          <w:lang w:eastAsia="tr-TR"/>
        </w:rPr>
        <w:t xml:space="preserve"> </w:t>
      </w:r>
      <w:r>
        <w:rPr>
          <w:rStyle w:val="FootnoteReference"/>
          <w:lang w:eastAsia="tr-TR"/>
        </w:rPr>
        <w:footnoteReference w:id="6"/>
      </w:r>
      <w:r>
        <w:rPr>
          <w:vertAlign w:val="superscript"/>
          <w:lang w:eastAsia="tr-TR"/>
        </w:rPr>
        <w:t xml:space="preserve">, </w:t>
      </w:r>
      <w:r>
        <w:rPr>
          <w:rStyle w:val="FootnoteReference"/>
          <w:lang w:eastAsia="tr-TR"/>
        </w:rPr>
        <w:footnoteReference w:id="7"/>
      </w:r>
      <w:r>
        <w:rPr>
          <w:vertAlign w:val="superscript"/>
          <w:lang w:eastAsia="tr-TR"/>
        </w:rPr>
        <w:t xml:space="preserve">, </w:t>
      </w:r>
      <w:r>
        <w:rPr>
          <w:rStyle w:val="FootnoteReference"/>
          <w:lang w:eastAsia="tr-TR"/>
        </w:rPr>
        <w:footnoteReference w:id="8"/>
      </w:r>
      <w:r w:rsidR="00B501A9">
        <w:rPr>
          <w:vertAlign w:val="superscript"/>
          <w:lang w:eastAsia="tr-TR"/>
        </w:rPr>
        <w:t xml:space="preserve">, </w:t>
      </w:r>
      <w:r w:rsidR="00B501A9">
        <w:rPr>
          <w:rStyle w:val="FootnoteReference"/>
          <w:lang w:eastAsia="tr-TR"/>
        </w:rPr>
        <w:footnoteReference w:id="9"/>
      </w:r>
      <w:r w:rsidR="0037199A">
        <w:rPr>
          <w:vertAlign w:val="superscript"/>
          <w:lang w:eastAsia="tr-TR"/>
        </w:rPr>
        <w:t xml:space="preserve">, </w:t>
      </w:r>
      <w:r w:rsidR="0037199A">
        <w:rPr>
          <w:rStyle w:val="FootnoteReference"/>
          <w:lang w:eastAsia="tr-TR"/>
        </w:rPr>
        <w:footnoteReference w:id="10"/>
      </w:r>
      <w:r w:rsidR="008822DB">
        <w:rPr>
          <w:vertAlign w:val="superscript"/>
          <w:lang w:eastAsia="tr-TR"/>
        </w:rPr>
        <w:t xml:space="preserve">, </w:t>
      </w:r>
      <w:r w:rsidR="008822DB">
        <w:rPr>
          <w:rStyle w:val="FootnoteReference"/>
          <w:lang w:eastAsia="tr-TR"/>
        </w:rPr>
        <w:footnoteReference w:id="11"/>
      </w:r>
      <w:r w:rsidR="00D03605">
        <w:rPr>
          <w:vertAlign w:val="superscript"/>
          <w:lang w:eastAsia="tr-TR"/>
        </w:rPr>
        <w:t xml:space="preserve">, </w:t>
      </w:r>
      <w:r w:rsidR="00D03605">
        <w:rPr>
          <w:rStyle w:val="FootnoteReference"/>
          <w:lang w:eastAsia="tr-TR"/>
        </w:rPr>
        <w:footnoteReference w:id="12"/>
      </w:r>
      <w:r w:rsidR="00E57A80">
        <w:rPr>
          <w:vertAlign w:val="superscript"/>
          <w:lang w:eastAsia="tr-TR"/>
        </w:rPr>
        <w:t xml:space="preserve">, </w:t>
      </w:r>
      <w:r w:rsidR="00530CCC">
        <w:rPr>
          <w:rStyle w:val="FootnoteReference"/>
          <w:lang w:eastAsia="tr-TR"/>
        </w:rPr>
        <w:footnoteReference w:id="13"/>
      </w:r>
      <w:r w:rsidR="00A133B5">
        <w:rPr>
          <w:vertAlign w:val="superscript"/>
          <w:lang w:eastAsia="tr-TR"/>
        </w:rPr>
        <w:t xml:space="preserve">, </w:t>
      </w:r>
      <w:r w:rsidR="00A133B5">
        <w:rPr>
          <w:rStyle w:val="FootnoteReference"/>
          <w:lang w:eastAsia="tr-TR"/>
        </w:rPr>
        <w:footnoteReference w:id="14"/>
      </w:r>
      <w:r w:rsidR="00803BDD">
        <w:rPr>
          <w:vertAlign w:val="superscript"/>
          <w:lang w:eastAsia="tr-TR"/>
        </w:rPr>
        <w:t>,</w:t>
      </w:r>
      <w:r w:rsidR="00803BDD">
        <w:rPr>
          <w:rStyle w:val="FootnoteReference"/>
          <w:lang w:eastAsia="tr-TR"/>
        </w:rPr>
        <w:footnoteReference w:id="15"/>
      </w:r>
      <w:r w:rsidR="0053506F">
        <w:rPr>
          <w:rStyle w:val="FootnoteReference"/>
          <w:lang w:eastAsia="tr-TR"/>
        </w:rPr>
        <w:footnoteReference w:id="16"/>
      </w:r>
      <w:r w:rsidR="00A823D3" w:rsidRPr="00453FAF">
        <w:rPr>
          <w:lang w:eastAsia="tr-TR"/>
        </w:rPr>
        <w:t xml:space="preserve"> </w:t>
      </w:r>
      <w:r w:rsidR="00803BDD" w:rsidRPr="00803BDD">
        <w:rPr>
          <w:lang w:eastAsia="tr-TR"/>
        </w:rPr>
        <w:t>Bu fıkra hükmünün yürürlüğe girdiği tarihten itibaren Kurul tarafından yeni bir karar alınıncaya kadar; ilgili piyasalarda asgari fiyat limitleri 0 TL/MWh, azami fiyat limitleri ise 3.</w:t>
      </w:r>
      <w:r w:rsidR="0053506F">
        <w:rPr>
          <w:lang w:eastAsia="tr-TR"/>
        </w:rPr>
        <w:t>4</w:t>
      </w:r>
      <w:r w:rsidR="00803BDD" w:rsidRPr="00803BDD">
        <w:rPr>
          <w:lang w:eastAsia="tr-TR"/>
        </w:rPr>
        <w:t>00 TL/MWh olarak uygulanır. Bu uygulama süresince bu Usul ve Esasların 4 üncü maddesinin ikinci fıkrası hükümleri uygulanmaz</w:t>
      </w:r>
      <w:r w:rsidR="0069319E">
        <w:t>.</w:t>
      </w:r>
    </w:p>
    <w:p w:rsidR="00D946AB" w:rsidRDefault="00D946AB" w:rsidP="00B17DF4">
      <w:pPr>
        <w:pStyle w:val="BodyText"/>
        <w:ind w:firstLine="709"/>
        <w:jc w:val="both"/>
        <w:rPr>
          <w:sz w:val="26"/>
        </w:rPr>
      </w:pPr>
    </w:p>
    <w:p w:rsidR="00D946AB" w:rsidRDefault="0069319E" w:rsidP="00B17DF4">
      <w:pPr>
        <w:pStyle w:val="BodyText"/>
        <w:ind w:right="113" w:firstLine="709"/>
        <w:jc w:val="both"/>
      </w:pPr>
      <w:r w:rsidRPr="00806DE0">
        <w:rPr>
          <w:b/>
        </w:rPr>
        <w:t>Yürürlük</w:t>
      </w:r>
    </w:p>
    <w:p w:rsidR="00D946AB" w:rsidRDefault="0069319E" w:rsidP="00B17DF4">
      <w:pPr>
        <w:pStyle w:val="BodyText"/>
        <w:ind w:firstLine="709"/>
        <w:jc w:val="both"/>
        <w:rPr>
          <w:spacing w:val="-2"/>
        </w:rPr>
      </w:pPr>
      <w:r>
        <w:rPr>
          <w:b/>
        </w:rPr>
        <w:t>MADDE</w:t>
      </w:r>
      <w:r>
        <w:rPr>
          <w:b/>
          <w:spacing w:val="-1"/>
        </w:rPr>
        <w:t xml:space="preserve"> </w:t>
      </w:r>
      <w:r w:rsidR="00B17DF4">
        <w:rPr>
          <w:b/>
        </w:rPr>
        <w:t xml:space="preserve">7- </w:t>
      </w:r>
      <w:r>
        <w:t>(1) Bu usul ve esaslar 01/07/2015 tarihinde yürürlüğe</w:t>
      </w:r>
      <w:r>
        <w:rPr>
          <w:spacing w:val="-1"/>
        </w:rPr>
        <w:t xml:space="preserve"> </w:t>
      </w:r>
      <w:r>
        <w:rPr>
          <w:spacing w:val="-2"/>
        </w:rPr>
        <w:t>girer.</w:t>
      </w:r>
    </w:p>
    <w:p w:rsidR="00806DE0" w:rsidRDefault="00806DE0" w:rsidP="00B17DF4">
      <w:pPr>
        <w:pStyle w:val="BodyText"/>
        <w:ind w:firstLine="709"/>
        <w:jc w:val="both"/>
      </w:pPr>
    </w:p>
    <w:p w:rsidR="00D946AB" w:rsidRDefault="0069319E" w:rsidP="00B17DF4">
      <w:pPr>
        <w:pStyle w:val="BodyText"/>
        <w:ind w:right="113" w:firstLine="709"/>
        <w:jc w:val="both"/>
      </w:pPr>
      <w:r w:rsidRPr="00806DE0">
        <w:rPr>
          <w:b/>
        </w:rPr>
        <w:t>Yürütme</w:t>
      </w:r>
    </w:p>
    <w:p w:rsidR="00D946AB" w:rsidRPr="00806DE0" w:rsidRDefault="0069319E" w:rsidP="00B17DF4">
      <w:pPr>
        <w:pStyle w:val="BodyText"/>
        <w:ind w:firstLine="709"/>
        <w:jc w:val="both"/>
      </w:pPr>
      <w:r>
        <w:rPr>
          <w:b/>
        </w:rPr>
        <w:t>MADDE</w:t>
      </w:r>
      <w:r>
        <w:rPr>
          <w:b/>
          <w:spacing w:val="-2"/>
        </w:rPr>
        <w:t xml:space="preserve"> </w:t>
      </w:r>
      <w:r>
        <w:rPr>
          <w:b/>
        </w:rPr>
        <w:t>8</w:t>
      </w:r>
      <w:r w:rsidR="00B17DF4">
        <w:rPr>
          <w:b/>
          <w:spacing w:val="1"/>
        </w:rPr>
        <w:t xml:space="preserve">- </w:t>
      </w:r>
      <w:r>
        <w:t>(1)</w:t>
      </w:r>
      <w:r>
        <w:rPr>
          <w:spacing w:val="1"/>
        </w:rPr>
        <w:t xml:space="preserve"> </w:t>
      </w:r>
      <w:r>
        <w:t>Bu usul</w:t>
      </w:r>
      <w:r>
        <w:rPr>
          <w:spacing w:val="1"/>
        </w:rPr>
        <w:t xml:space="preserve"> </w:t>
      </w:r>
      <w:r>
        <w:t>ve</w:t>
      </w:r>
      <w:r>
        <w:rPr>
          <w:spacing w:val="1"/>
        </w:rPr>
        <w:t xml:space="preserve"> </w:t>
      </w:r>
      <w:r>
        <w:t>esasların</w:t>
      </w:r>
      <w:r>
        <w:rPr>
          <w:spacing w:val="1"/>
        </w:rPr>
        <w:t xml:space="preserve"> </w:t>
      </w:r>
      <w:r>
        <w:t>hükümlerini Enerji</w:t>
      </w:r>
      <w:r>
        <w:rPr>
          <w:spacing w:val="1"/>
        </w:rPr>
        <w:t xml:space="preserve"> </w:t>
      </w:r>
      <w:r>
        <w:t>Piyasası</w:t>
      </w:r>
      <w:r>
        <w:rPr>
          <w:spacing w:val="1"/>
        </w:rPr>
        <w:t xml:space="preserve"> </w:t>
      </w:r>
      <w:r>
        <w:t>Düzenleme</w:t>
      </w:r>
      <w:r>
        <w:rPr>
          <w:spacing w:val="1"/>
        </w:rPr>
        <w:t xml:space="preserve"> </w:t>
      </w:r>
      <w:r>
        <w:rPr>
          <w:spacing w:val="-2"/>
        </w:rPr>
        <w:t>Kurumu</w:t>
      </w:r>
      <w:r w:rsidR="00B17DF4">
        <w:t xml:space="preserve"> </w:t>
      </w:r>
      <w:r>
        <w:t xml:space="preserve">Başkanı </w:t>
      </w:r>
      <w:r>
        <w:rPr>
          <w:spacing w:val="-2"/>
        </w:rPr>
        <w:t>yürütür.</w:t>
      </w:r>
      <w:bookmarkStart w:id="0" w:name="_GoBack"/>
      <w:bookmarkEnd w:id="0"/>
    </w:p>
    <w:sectPr w:rsidR="00D946AB" w:rsidRPr="00806DE0" w:rsidSect="00B17DF4">
      <w:pgSz w:w="11910" w:h="16840"/>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582" w:rsidRDefault="00367582" w:rsidP="00A823D3">
      <w:r>
        <w:separator/>
      </w:r>
    </w:p>
  </w:endnote>
  <w:endnote w:type="continuationSeparator" w:id="0">
    <w:p w:rsidR="00367582" w:rsidRDefault="00367582" w:rsidP="00A8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582" w:rsidRDefault="00367582" w:rsidP="00A823D3">
      <w:r>
        <w:separator/>
      </w:r>
    </w:p>
  </w:footnote>
  <w:footnote w:type="continuationSeparator" w:id="0">
    <w:p w:rsidR="00367582" w:rsidRDefault="00367582" w:rsidP="00A823D3">
      <w:r>
        <w:continuationSeparator/>
      </w:r>
    </w:p>
  </w:footnote>
  <w:footnote w:id="1">
    <w:p w:rsidR="00196B0C" w:rsidRDefault="00196B0C" w:rsidP="00196B0C">
      <w:pPr>
        <w:pStyle w:val="FootnoteText"/>
      </w:pPr>
      <w:r>
        <w:rPr>
          <w:rStyle w:val="FootnoteReference"/>
        </w:rPr>
        <w:footnoteRef/>
      </w:r>
      <w:r>
        <w:t xml:space="preserve"> </w:t>
      </w:r>
      <w:r w:rsidRPr="00806DE0">
        <w:t>6 Ocak 2017 tarihli ve 29940 sayılı Resmi Gazete’de yayımlanan Kurul Kararı ile eklenmiştir.</w:t>
      </w:r>
    </w:p>
  </w:footnote>
  <w:footnote w:id="2">
    <w:p w:rsidR="00196B0C" w:rsidRDefault="00196B0C">
      <w:pPr>
        <w:pStyle w:val="FootnoteText"/>
      </w:pPr>
      <w:r>
        <w:rPr>
          <w:rStyle w:val="FootnoteReference"/>
        </w:rPr>
        <w:footnoteRef/>
      </w:r>
      <w:r>
        <w:t xml:space="preserve"> 28</w:t>
      </w:r>
      <w:r>
        <w:rPr>
          <w:spacing w:val="-2"/>
        </w:rPr>
        <w:t xml:space="preserve"> </w:t>
      </w:r>
      <w:r>
        <w:t>Aralık</w:t>
      </w:r>
      <w:r>
        <w:rPr>
          <w:spacing w:val="-3"/>
        </w:rPr>
        <w:t xml:space="preserve"> </w:t>
      </w:r>
      <w:r>
        <w:t>2019</w:t>
      </w:r>
      <w:r>
        <w:rPr>
          <w:spacing w:val="-2"/>
        </w:rPr>
        <w:t xml:space="preserve"> </w:t>
      </w:r>
      <w:r>
        <w:t>tarihli</w:t>
      </w:r>
      <w:r>
        <w:rPr>
          <w:spacing w:val="-2"/>
        </w:rPr>
        <w:t xml:space="preserve"> </w:t>
      </w:r>
      <w:r>
        <w:t>ve</w:t>
      </w:r>
      <w:r>
        <w:rPr>
          <w:spacing w:val="-2"/>
        </w:rPr>
        <w:t xml:space="preserve"> </w:t>
      </w:r>
      <w:r>
        <w:t>30992</w:t>
      </w:r>
      <w:r>
        <w:rPr>
          <w:spacing w:val="-2"/>
        </w:rPr>
        <w:t xml:space="preserve"> </w:t>
      </w:r>
      <w:r>
        <w:t>sayılı</w:t>
      </w:r>
      <w:r>
        <w:rPr>
          <w:spacing w:val="-2"/>
        </w:rPr>
        <w:t xml:space="preserve"> </w:t>
      </w:r>
      <w:r>
        <w:t>Resmi</w:t>
      </w:r>
      <w:r>
        <w:rPr>
          <w:spacing w:val="-2"/>
        </w:rPr>
        <w:t xml:space="preserve"> </w:t>
      </w:r>
      <w:r>
        <w:t>Gazete’de</w:t>
      </w:r>
      <w:r>
        <w:rPr>
          <w:spacing w:val="-2"/>
        </w:rPr>
        <w:t xml:space="preserve"> </w:t>
      </w:r>
      <w:r>
        <w:t>yayımlanan</w:t>
      </w:r>
      <w:r>
        <w:rPr>
          <w:spacing w:val="-2"/>
        </w:rPr>
        <w:t xml:space="preserve"> </w:t>
      </w:r>
      <w:r>
        <w:t>Kurul</w:t>
      </w:r>
      <w:r>
        <w:rPr>
          <w:spacing w:val="-3"/>
        </w:rPr>
        <w:t xml:space="preserve"> </w:t>
      </w:r>
      <w:r>
        <w:t>Kararı</w:t>
      </w:r>
      <w:r>
        <w:rPr>
          <w:spacing w:val="-3"/>
        </w:rPr>
        <w:t xml:space="preserve"> </w:t>
      </w:r>
      <w:r>
        <w:t>ile</w:t>
      </w:r>
      <w:r>
        <w:rPr>
          <w:spacing w:val="-1"/>
        </w:rPr>
        <w:t xml:space="preserve"> </w:t>
      </w:r>
      <w:r>
        <w:rPr>
          <w:spacing w:val="-2"/>
        </w:rPr>
        <w:t>eklenmiştir.</w:t>
      </w:r>
    </w:p>
  </w:footnote>
  <w:footnote w:id="3">
    <w:p w:rsidR="00806DE0" w:rsidRDefault="00806DE0">
      <w:pPr>
        <w:pStyle w:val="FootnoteText"/>
      </w:pPr>
      <w:r>
        <w:rPr>
          <w:rStyle w:val="FootnoteReference"/>
        </w:rPr>
        <w:footnoteRef/>
      </w:r>
      <w:r>
        <w:t xml:space="preserve"> 6</w:t>
      </w:r>
      <w:r>
        <w:rPr>
          <w:spacing w:val="-1"/>
        </w:rPr>
        <w:t xml:space="preserve"> </w:t>
      </w:r>
      <w:r>
        <w:t>Ekim</w:t>
      </w:r>
      <w:r>
        <w:rPr>
          <w:spacing w:val="-2"/>
        </w:rPr>
        <w:t xml:space="preserve"> </w:t>
      </w:r>
      <w:r>
        <w:t>2020</w:t>
      </w:r>
      <w:r>
        <w:rPr>
          <w:spacing w:val="-1"/>
        </w:rPr>
        <w:t xml:space="preserve"> </w:t>
      </w:r>
      <w:r>
        <w:t>tarihli</w:t>
      </w:r>
      <w:r>
        <w:rPr>
          <w:spacing w:val="-1"/>
        </w:rPr>
        <w:t xml:space="preserve"> </w:t>
      </w:r>
      <w:r>
        <w:t>ve</w:t>
      </w:r>
      <w:r>
        <w:rPr>
          <w:spacing w:val="-2"/>
        </w:rPr>
        <w:t xml:space="preserve"> </w:t>
      </w:r>
      <w:r>
        <w:t>31266</w:t>
      </w:r>
      <w:r>
        <w:rPr>
          <w:spacing w:val="-1"/>
        </w:rPr>
        <w:t xml:space="preserve"> </w:t>
      </w:r>
      <w:r>
        <w:t>sayılı</w:t>
      </w:r>
      <w:r>
        <w:rPr>
          <w:spacing w:val="-2"/>
        </w:rPr>
        <w:t xml:space="preserve"> </w:t>
      </w:r>
      <w:r>
        <w:t>Resmi</w:t>
      </w:r>
      <w:r>
        <w:rPr>
          <w:spacing w:val="-1"/>
        </w:rPr>
        <w:t xml:space="preserve"> </w:t>
      </w:r>
      <w:r>
        <w:t>Gazete’de</w:t>
      </w:r>
      <w:r>
        <w:rPr>
          <w:spacing w:val="-1"/>
        </w:rPr>
        <w:t xml:space="preserve"> </w:t>
      </w:r>
      <w:r>
        <w:t>yayımlanan</w:t>
      </w:r>
      <w:r>
        <w:rPr>
          <w:spacing w:val="-1"/>
        </w:rPr>
        <w:t xml:space="preserve"> </w:t>
      </w:r>
      <w:r>
        <w:t>Kurul</w:t>
      </w:r>
      <w:r>
        <w:rPr>
          <w:spacing w:val="-2"/>
        </w:rPr>
        <w:t xml:space="preserve"> </w:t>
      </w:r>
      <w:r>
        <w:t>Kararı</w:t>
      </w:r>
      <w:r>
        <w:rPr>
          <w:spacing w:val="-2"/>
        </w:rPr>
        <w:t xml:space="preserve"> </w:t>
      </w:r>
      <w:r>
        <w:t>ile</w:t>
      </w:r>
      <w:r>
        <w:rPr>
          <w:spacing w:val="-1"/>
        </w:rPr>
        <w:t xml:space="preserve"> </w:t>
      </w:r>
      <w:r>
        <w:rPr>
          <w:spacing w:val="-2"/>
        </w:rPr>
        <w:t>eklenmiştir.</w:t>
      </w:r>
    </w:p>
  </w:footnote>
  <w:footnote w:id="4">
    <w:p w:rsidR="00806DE0" w:rsidRDefault="00806DE0">
      <w:pPr>
        <w:pStyle w:val="FootnoteText"/>
      </w:pPr>
      <w:r>
        <w:rPr>
          <w:rStyle w:val="FootnoteReference"/>
        </w:rPr>
        <w:footnoteRef/>
      </w:r>
      <w:r>
        <w:t xml:space="preserve"> 15 Ekim 2021 tarihli ve 31629 sayılı Resmi Gazete’de yayımlanan Kurul Kararı ile değiştirilmiştir.</w:t>
      </w:r>
    </w:p>
  </w:footnote>
  <w:footnote w:id="5">
    <w:p w:rsidR="00785BCD" w:rsidRDefault="00785BCD">
      <w:pPr>
        <w:pStyle w:val="FootnoteText"/>
      </w:pPr>
      <w:r>
        <w:rPr>
          <w:rStyle w:val="FootnoteReference"/>
        </w:rPr>
        <w:footnoteRef/>
      </w:r>
      <w:r>
        <w:t xml:space="preserve"> 30 Mart 2022 tarihli ve 31794 Resmi Gazete’de yayımlanan Kurul Kararı ile değiştirilmiştir.</w:t>
      </w:r>
    </w:p>
  </w:footnote>
  <w:footnote w:id="6">
    <w:p w:rsidR="00806DE0" w:rsidRDefault="00806DE0">
      <w:pPr>
        <w:pStyle w:val="FootnoteText"/>
      </w:pPr>
      <w:r>
        <w:rPr>
          <w:rStyle w:val="FootnoteReference"/>
        </w:rPr>
        <w:footnoteRef/>
      </w:r>
      <w:r>
        <w:t xml:space="preserve"> </w:t>
      </w:r>
      <w:r w:rsidRPr="00A823D3">
        <w:t>19 Mayıs</w:t>
      </w:r>
      <w:r>
        <w:t xml:space="preserve"> 2022 tarihli ve 31840 sayılı Resmi Gazete’de yayımlanan Kurul Kararı ile değiştirilmiştir.</w:t>
      </w:r>
    </w:p>
  </w:footnote>
  <w:footnote w:id="7">
    <w:p w:rsidR="00806DE0" w:rsidRDefault="00806DE0">
      <w:pPr>
        <w:pStyle w:val="FootnoteText"/>
      </w:pPr>
      <w:r>
        <w:rPr>
          <w:rStyle w:val="FootnoteReference"/>
        </w:rPr>
        <w:footnoteRef/>
      </w:r>
      <w:r>
        <w:t xml:space="preserve"> 28 Mayıs 2022 tarihli ve 31849 sayılı Resmi Gazete’de yayımlanan Kurul Kararı ile değiştirilmiştir.</w:t>
      </w:r>
    </w:p>
  </w:footnote>
  <w:footnote w:id="8">
    <w:p w:rsidR="00806DE0" w:rsidRDefault="00806DE0">
      <w:pPr>
        <w:pStyle w:val="FootnoteText"/>
      </w:pPr>
      <w:r>
        <w:rPr>
          <w:rStyle w:val="FootnoteReference"/>
        </w:rPr>
        <w:footnoteRef/>
      </w:r>
      <w:r>
        <w:t xml:space="preserve"> 30 </w:t>
      </w:r>
      <w:r w:rsidR="00827C5B">
        <w:t>Haziran</w:t>
      </w:r>
      <w:r>
        <w:t xml:space="preserve"> 2022 tarihli 31882 sayılı Resmi Gazete’de yayımlanan Kurul Kararı ile değiştirilmiştir.</w:t>
      </w:r>
    </w:p>
  </w:footnote>
  <w:footnote w:id="9">
    <w:p w:rsidR="00B501A9" w:rsidRDefault="00B501A9">
      <w:pPr>
        <w:pStyle w:val="FootnoteText"/>
      </w:pPr>
      <w:r>
        <w:rPr>
          <w:rStyle w:val="FootnoteReference"/>
        </w:rPr>
        <w:footnoteRef/>
      </w:r>
      <w:r>
        <w:t xml:space="preserve"> </w:t>
      </w:r>
      <w:r w:rsidRPr="00B501A9">
        <w:t>29 Temmuz 2022 tarihli ve 31907 sayılı Resmi Gazete’de</w:t>
      </w:r>
      <w:r>
        <w:t xml:space="preserve"> yayımlanan Kurul Kararı ile değiştirilmiştir.</w:t>
      </w:r>
    </w:p>
  </w:footnote>
  <w:footnote w:id="10">
    <w:p w:rsidR="0037199A" w:rsidRDefault="0037199A">
      <w:pPr>
        <w:pStyle w:val="FootnoteText"/>
      </w:pPr>
      <w:r>
        <w:rPr>
          <w:rStyle w:val="FootnoteReference"/>
        </w:rPr>
        <w:footnoteRef/>
      </w:r>
      <w:r>
        <w:t xml:space="preserve"> 1 Eylül 2022 tarihli ve 31940</w:t>
      </w:r>
      <w:r w:rsidRPr="00B501A9">
        <w:t xml:space="preserve"> sayılı Resmi Gazete’de</w:t>
      </w:r>
      <w:r>
        <w:t xml:space="preserve"> yayımlanan Kurul Kararı ile değiştirilmiştir.</w:t>
      </w:r>
    </w:p>
  </w:footnote>
  <w:footnote w:id="11">
    <w:p w:rsidR="008822DB" w:rsidRDefault="008822DB">
      <w:pPr>
        <w:pStyle w:val="FootnoteText"/>
      </w:pPr>
      <w:r>
        <w:rPr>
          <w:rStyle w:val="FootnoteReference"/>
        </w:rPr>
        <w:footnoteRef/>
      </w:r>
      <w:r>
        <w:t xml:space="preserve"> 30 Aralık 2022 tarihli ve 32059</w:t>
      </w:r>
      <w:r w:rsidRPr="00B501A9">
        <w:t xml:space="preserve"> sayılı Resmi Gazete’de</w:t>
      </w:r>
      <w:r>
        <w:t xml:space="preserve"> yayımlanan Kurul Kararı ile değiştirilmiştir.</w:t>
      </w:r>
    </w:p>
  </w:footnote>
  <w:footnote w:id="12">
    <w:p w:rsidR="00D03605" w:rsidRDefault="00D03605">
      <w:pPr>
        <w:pStyle w:val="FootnoteText"/>
      </w:pPr>
      <w:r>
        <w:rPr>
          <w:rStyle w:val="FootnoteReference"/>
        </w:rPr>
        <w:footnoteRef/>
      </w:r>
      <w:r>
        <w:t xml:space="preserve"> 27 Ocak 2023 tarihli ve 32086</w:t>
      </w:r>
      <w:r w:rsidRPr="00B501A9">
        <w:t xml:space="preserve"> sayılı Resmi Gazete’de</w:t>
      </w:r>
      <w:r>
        <w:t xml:space="preserve"> yayımlanan Kurul Kararı ile değiştirilmiştir.</w:t>
      </w:r>
    </w:p>
  </w:footnote>
  <w:footnote w:id="13">
    <w:p w:rsidR="00530CCC" w:rsidRDefault="00530CCC">
      <w:pPr>
        <w:pStyle w:val="FootnoteText"/>
      </w:pPr>
      <w:r>
        <w:rPr>
          <w:rStyle w:val="FootnoteReference"/>
        </w:rPr>
        <w:footnoteRef/>
      </w:r>
      <w:r>
        <w:t xml:space="preserve"> 31 Mart 2023 tarihli ve 32149</w:t>
      </w:r>
      <w:r w:rsidRPr="00B501A9">
        <w:t xml:space="preserve"> sayılı Resmi Gazete’de</w:t>
      </w:r>
      <w:r>
        <w:t xml:space="preserve"> yayımlanan Kurul Kararı ile değiştirilmiştir.</w:t>
      </w:r>
    </w:p>
  </w:footnote>
  <w:footnote w:id="14">
    <w:p w:rsidR="00803BDD" w:rsidRDefault="00A133B5">
      <w:pPr>
        <w:pStyle w:val="FootnoteText"/>
      </w:pPr>
      <w:r>
        <w:rPr>
          <w:rStyle w:val="FootnoteReference"/>
        </w:rPr>
        <w:footnoteRef/>
      </w:r>
      <w:r>
        <w:t xml:space="preserve">  4 Temmuz 2023 tarihli ve 32238</w:t>
      </w:r>
      <w:r w:rsidRPr="00B501A9">
        <w:t xml:space="preserve"> sayılı Resmi Gazete’de</w:t>
      </w:r>
      <w:r>
        <w:t xml:space="preserve"> yayımlanan Kurul Kararı ile değiştirilmiştir.</w:t>
      </w:r>
    </w:p>
  </w:footnote>
  <w:footnote w:id="15">
    <w:p w:rsidR="00803BDD" w:rsidRDefault="00803BDD">
      <w:pPr>
        <w:pStyle w:val="FootnoteText"/>
      </w:pPr>
      <w:r>
        <w:rPr>
          <w:rStyle w:val="FootnoteReference"/>
        </w:rPr>
        <w:footnoteRef/>
      </w:r>
      <w:r>
        <w:t xml:space="preserve"> </w:t>
      </w:r>
      <w:r w:rsidRPr="00803BDD">
        <w:t>29</w:t>
      </w:r>
      <w:r>
        <w:t xml:space="preserve"> Haziran </w:t>
      </w:r>
      <w:r w:rsidRPr="00803BDD">
        <w:t>2024</w:t>
      </w:r>
      <w:r>
        <w:t xml:space="preserve"> tarihli ve </w:t>
      </w:r>
      <w:r w:rsidRPr="00803BDD">
        <w:t>32587</w:t>
      </w:r>
      <w:r>
        <w:t xml:space="preserve"> sayılı Resmi Gazete’de yayımlanan Kurul Kararı ile değiştirilmiştir.</w:t>
      </w:r>
    </w:p>
  </w:footnote>
  <w:footnote w:id="16">
    <w:p w:rsidR="0053506F" w:rsidRDefault="0053506F">
      <w:pPr>
        <w:pStyle w:val="FootnoteText"/>
      </w:pPr>
      <w:r>
        <w:rPr>
          <w:rStyle w:val="FootnoteReference"/>
        </w:rPr>
        <w:footnoteRef/>
      </w:r>
      <w:r>
        <w:t xml:space="preserve"> </w:t>
      </w:r>
      <w:r>
        <w:t>27 Mart</w:t>
      </w:r>
      <w:r>
        <w:t xml:space="preserve"> </w:t>
      </w:r>
      <w:r>
        <w:t>2025</w:t>
      </w:r>
      <w:r>
        <w:t xml:space="preserve"> tarihli ve </w:t>
      </w:r>
      <w:r>
        <w:t>13423</w:t>
      </w:r>
      <w:r>
        <w:t xml:space="preserve"> sayılı Resmi Gazete’de yayımlanan Kurul Kararı ile değiştirilmiştir.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2DDB"/>
    <w:multiLevelType w:val="hybridMultilevel"/>
    <w:tmpl w:val="C1044430"/>
    <w:lvl w:ilvl="0" w:tplc="76A6638C">
      <w:start w:val="2"/>
      <w:numFmt w:val="decimal"/>
      <w:lvlText w:val="(%1)"/>
      <w:lvlJc w:val="left"/>
      <w:pPr>
        <w:ind w:left="117" w:hanging="376"/>
      </w:pPr>
      <w:rPr>
        <w:rFonts w:ascii="Times New Roman" w:eastAsia="Times New Roman" w:hAnsi="Times New Roman" w:cs="Times New Roman" w:hint="default"/>
        <w:b w:val="0"/>
        <w:bCs w:val="0"/>
        <w:i w:val="0"/>
        <w:iCs w:val="0"/>
        <w:w w:val="100"/>
        <w:sz w:val="24"/>
        <w:szCs w:val="24"/>
        <w:lang w:val="tr-TR" w:eastAsia="en-US" w:bidi="ar-SA"/>
      </w:rPr>
    </w:lvl>
    <w:lvl w:ilvl="1" w:tplc="78EA24B8">
      <w:numFmt w:val="bullet"/>
      <w:lvlText w:val="•"/>
      <w:lvlJc w:val="left"/>
      <w:pPr>
        <w:ind w:left="1038" w:hanging="376"/>
      </w:pPr>
      <w:rPr>
        <w:rFonts w:hint="default"/>
        <w:lang w:val="tr-TR" w:eastAsia="en-US" w:bidi="ar-SA"/>
      </w:rPr>
    </w:lvl>
    <w:lvl w:ilvl="2" w:tplc="05DE948C">
      <w:numFmt w:val="bullet"/>
      <w:lvlText w:val="•"/>
      <w:lvlJc w:val="left"/>
      <w:pPr>
        <w:ind w:left="1957" w:hanging="376"/>
      </w:pPr>
      <w:rPr>
        <w:rFonts w:hint="default"/>
        <w:lang w:val="tr-TR" w:eastAsia="en-US" w:bidi="ar-SA"/>
      </w:rPr>
    </w:lvl>
    <w:lvl w:ilvl="3" w:tplc="51EC1990">
      <w:numFmt w:val="bullet"/>
      <w:lvlText w:val="•"/>
      <w:lvlJc w:val="left"/>
      <w:pPr>
        <w:ind w:left="2875" w:hanging="376"/>
      </w:pPr>
      <w:rPr>
        <w:rFonts w:hint="default"/>
        <w:lang w:val="tr-TR" w:eastAsia="en-US" w:bidi="ar-SA"/>
      </w:rPr>
    </w:lvl>
    <w:lvl w:ilvl="4" w:tplc="F4C00802">
      <w:numFmt w:val="bullet"/>
      <w:lvlText w:val="•"/>
      <w:lvlJc w:val="left"/>
      <w:pPr>
        <w:ind w:left="3794" w:hanging="376"/>
      </w:pPr>
      <w:rPr>
        <w:rFonts w:hint="default"/>
        <w:lang w:val="tr-TR" w:eastAsia="en-US" w:bidi="ar-SA"/>
      </w:rPr>
    </w:lvl>
    <w:lvl w:ilvl="5" w:tplc="7A4AEF34">
      <w:numFmt w:val="bullet"/>
      <w:lvlText w:val="•"/>
      <w:lvlJc w:val="left"/>
      <w:pPr>
        <w:ind w:left="4713" w:hanging="376"/>
      </w:pPr>
      <w:rPr>
        <w:rFonts w:hint="default"/>
        <w:lang w:val="tr-TR" w:eastAsia="en-US" w:bidi="ar-SA"/>
      </w:rPr>
    </w:lvl>
    <w:lvl w:ilvl="6" w:tplc="38C2D65C">
      <w:numFmt w:val="bullet"/>
      <w:lvlText w:val="•"/>
      <w:lvlJc w:val="left"/>
      <w:pPr>
        <w:ind w:left="5631" w:hanging="376"/>
      </w:pPr>
      <w:rPr>
        <w:rFonts w:hint="default"/>
        <w:lang w:val="tr-TR" w:eastAsia="en-US" w:bidi="ar-SA"/>
      </w:rPr>
    </w:lvl>
    <w:lvl w:ilvl="7" w:tplc="31CCCE64">
      <w:numFmt w:val="bullet"/>
      <w:lvlText w:val="•"/>
      <w:lvlJc w:val="left"/>
      <w:pPr>
        <w:ind w:left="6550" w:hanging="376"/>
      </w:pPr>
      <w:rPr>
        <w:rFonts w:hint="default"/>
        <w:lang w:val="tr-TR" w:eastAsia="en-US" w:bidi="ar-SA"/>
      </w:rPr>
    </w:lvl>
    <w:lvl w:ilvl="8" w:tplc="78BAD618">
      <w:numFmt w:val="bullet"/>
      <w:lvlText w:val="•"/>
      <w:lvlJc w:val="left"/>
      <w:pPr>
        <w:ind w:left="7468" w:hanging="376"/>
      </w:pPr>
      <w:rPr>
        <w:rFonts w:hint="default"/>
        <w:lang w:val="tr-TR" w:eastAsia="en-US" w:bidi="ar-SA"/>
      </w:rPr>
    </w:lvl>
  </w:abstractNum>
  <w:abstractNum w:abstractNumId="1" w15:restartNumberingAfterBreak="0">
    <w:nsid w:val="1A590C38"/>
    <w:multiLevelType w:val="hybridMultilevel"/>
    <w:tmpl w:val="DE7A7434"/>
    <w:lvl w:ilvl="0" w:tplc="5F70D310">
      <w:start w:val="2"/>
      <w:numFmt w:val="decimal"/>
      <w:lvlText w:val="(%1)"/>
      <w:lvlJc w:val="left"/>
      <w:pPr>
        <w:ind w:left="117" w:hanging="430"/>
      </w:pPr>
      <w:rPr>
        <w:rFonts w:ascii="Times New Roman" w:eastAsia="Times New Roman" w:hAnsi="Times New Roman" w:cs="Times New Roman" w:hint="default"/>
        <w:b w:val="0"/>
        <w:bCs w:val="0"/>
        <w:i w:val="0"/>
        <w:iCs w:val="0"/>
        <w:w w:val="100"/>
        <w:sz w:val="24"/>
        <w:szCs w:val="24"/>
        <w:lang w:val="tr-TR" w:eastAsia="en-US" w:bidi="ar-SA"/>
      </w:rPr>
    </w:lvl>
    <w:lvl w:ilvl="1" w:tplc="9856B410">
      <w:numFmt w:val="bullet"/>
      <w:lvlText w:val="•"/>
      <w:lvlJc w:val="left"/>
      <w:pPr>
        <w:ind w:left="1038" w:hanging="430"/>
      </w:pPr>
      <w:rPr>
        <w:rFonts w:hint="default"/>
        <w:lang w:val="tr-TR" w:eastAsia="en-US" w:bidi="ar-SA"/>
      </w:rPr>
    </w:lvl>
    <w:lvl w:ilvl="2" w:tplc="7B5E4A90">
      <w:numFmt w:val="bullet"/>
      <w:lvlText w:val="•"/>
      <w:lvlJc w:val="left"/>
      <w:pPr>
        <w:ind w:left="1957" w:hanging="430"/>
      </w:pPr>
      <w:rPr>
        <w:rFonts w:hint="default"/>
        <w:lang w:val="tr-TR" w:eastAsia="en-US" w:bidi="ar-SA"/>
      </w:rPr>
    </w:lvl>
    <w:lvl w:ilvl="3" w:tplc="DE52B0CA">
      <w:numFmt w:val="bullet"/>
      <w:lvlText w:val="•"/>
      <w:lvlJc w:val="left"/>
      <w:pPr>
        <w:ind w:left="2875" w:hanging="430"/>
      </w:pPr>
      <w:rPr>
        <w:rFonts w:hint="default"/>
        <w:lang w:val="tr-TR" w:eastAsia="en-US" w:bidi="ar-SA"/>
      </w:rPr>
    </w:lvl>
    <w:lvl w:ilvl="4" w:tplc="E4B2401C">
      <w:numFmt w:val="bullet"/>
      <w:lvlText w:val="•"/>
      <w:lvlJc w:val="left"/>
      <w:pPr>
        <w:ind w:left="3794" w:hanging="430"/>
      </w:pPr>
      <w:rPr>
        <w:rFonts w:hint="default"/>
        <w:lang w:val="tr-TR" w:eastAsia="en-US" w:bidi="ar-SA"/>
      </w:rPr>
    </w:lvl>
    <w:lvl w:ilvl="5" w:tplc="04C8D55E">
      <w:numFmt w:val="bullet"/>
      <w:lvlText w:val="•"/>
      <w:lvlJc w:val="left"/>
      <w:pPr>
        <w:ind w:left="4713" w:hanging="430"/>
      </w:pPr>
      <w:rPr>
        <w:rFonts w:hint="default"/>
        <w:lang w:val="tr-TR" w:eastAsia="en-US" w:bidi="ar-SA"/>
      </w:rPr>
    </w:lvl>
    <w:lvl w:ilvl="6" w:tplc="F72E4ECC">
      <w:numFmt w:val="bullet"/>
      <w:lvlText w:val="•"/>
      <w:lvlJc w:val="left"/>
      <w:pPr>
        <w:ind w:left="5631" w:hanging="430"/>
      </w:pPr>
      <w:rPr>
        <w:rFonts w:hint="default"/>
        <w:lang w:val="tr-TR" w:eastAsia="en-US" w:bidi="ar-SA"/>
      </w:rPr>
    </w:lvl>
    <w:lvl w:ilvl="7" w:tplc="4F1C54C8">
      <w:numFmt w:val="bullet"/>
      <w:lvlText w:val="•"/>
      <w:lvlJc w:val="left"/>
      <w:pPr>
        <w:ind w:left="6550" w:hanging="430"/>
      </w:pPr>
      <w:rPr>
        <w:rFonts w:hint="default"/>
        <w:lang w:val="tr-TR" w:eastAsia="en-US" w:bidi="ar-SA"/>
      </w:rPr>
    </w:lvl>
    <w:lvl w:ilvl="8" w:tplc="F13C2328">
      <w:numFmt w:val="bullet"/>
      <w:lvlText w:val="•"/>
      <w:lvlJc w:val="left"/>
      <w:pPr>
        <w:ind w:left="7468" w:hanging="430"/>
      </w:pPr>
      <w:rPr>
        <w:rFonts w:hint="default"/>
        <w:lang w:val="tr-TR" w:eastAsia="en-US" w:bidi="ar-SA"/>
      </w:rPr>
    </w:lvl>
  </w:abstractNum>
  <w:abstractNum w:abstractNumId="2" w15:restartNumberingAfterBreak="0">
    <w:nsid w:val="1C2A26F0"/>
    <w:multiLevelType w:val="hybridMultilevel"/>
    <w:tmpl w:val="E034C42A"/>
    <w:lvl w:ilvl="0" w:tplc="313EA726">
      <w:start w:val="2"/>
      <w:numFmt w:val="decimal"/>
      <w:lvlText w:val="(%1)"/>
      <w:lvlJc w:val="left"/>
      <w:pPr>
        <w:ind w:left="117" w:hanging="370"/>
      </w:pPr>
      <w:rPr>
        <w:rFonts w:ascii="Times New Roman" w:eastAsia="Times New Roman" w:hAnsi="Times New Roman" w:cs="Times New Roman" w:hint="default"/>
        <w:b w:val="0"/>
        <w:bCs w:val="0"/>
        <w:i w:val="0"/>
        <w:iCs w:val="0"/>
        <w:w w:val="100"/>
        <w:sz w:val="24"/>
        <w:szCs w:val="24"/>
        <w:lang w:val="tr-TR" w:eastAsia="en-US" w:bidi="ar-SA"/>
      </w:rPr>
    </w:lvl>
    <w:lvl w:ilvl="1" w:tplc="054EDC90">
      <w:numFmt w:val="bullet"/>
      <w:lvlText w:val="•"/>
      <w:lvlJc w:val="left"/>
      <w:pPr>
        <w:ind w:left="1038" w:hanging="370"/>
      </w:pPr>
      <w:rPr>
        <w:rFonts w:hint="default"/>
        <w:lang w:val="tr-TR" w:eastAsia="en-US" w:bidi="ar-SA"/>
      </w:rPr>
    </w:lvl>
    <w:lvl w:ilvl="2" w:tplc="3ED4CD04">
      <w:numFmt w:val="bullet"/>
      <w:lvlText w:val="•"/>
      <w:lvlJc w:val="left"/>
      <w:pPr>
        <w:ind w:left="1957" w:hanging="370"/>
      </w:pPr>
      <w:rPr>
        <w:rFonts w:hint="default"/>
        <w:lang w:val="tr-TR" w:eastAsia="en-US" w:bidi="ar-SA"/>
      </w:rPr>
    </w:lvl>
    <w:lvl w:ilvl="3" w:tplc="8CEA5EFC">
      <w:numFmt w:val="bullet"/>
      <w:lvlText w:val="•"/>
      <w:lvlJc w:val="left"/>
      <w:pPr>
        <w:ind w:left="2875" w:hanging="370"/>
      </w:pPr>
      <w:rPr>
        <w:rFonts w:hint="default"/>
        <w:lang w:val="tr-TR" w:eastAsia="en-US" w:bidi="ar-SA"/>
      </w:rPr>
    </w:lvl>
    <w:lvl w:ilvl="4" w:tplc="7A50D556">
      <w:numFmt w:val="bullet"/>
      <w:lvlText w:val="•"/>
      <w:lvlJc w:val="left"/>
      <w:pPr>
        <w:ind w:left="3794" w:hanging="370"/>
      </w:pPr>
      <w:rPr>
        <w:rFonts w:hint="default"/>
        <w:lang w:val="tr-TR" w:eastAsia="en-US" w:bidi="ar-SA"/>
      </w:rPr>
    </w:lvl>
    <w:lvl w:ilvl="5" w:tplc="0142AA02">
      <w:numFmt w:val="bullet"/>
      <w:lvlText w:val="•"/>
      <w:lvlJc w:val="left"/>
      <w:pPr>
        <w:ind w:left="4713" w:hanging="370"/>
      </w:pPr>
      <w:rPr>
        <w:rFonts w:hint="default"/>
        <w:lang w:val="tr-TR" w:eastAsia="en-US" w:bidi="ar-SA"/>
      </w:rPr>
    </w:lvl>
    <w:lvl w:ilvl="6" w:tplc="9B7092E8">
      <w:numFmt w:val="bullet"/>
      <w:lvlText w:val="•"/>
      <w:lvlJc w:val="left"/>
      <w:pPr>
        <w:ind w:left="5631" w:hanging="370"/>
      </w:pPr>
      <w:rPr>
        <w:rFonts w:hint="default"/>
        <w:lang w:val="tr-TR" w:eastAsia="en-US" w:bidi="ar-SA"/>
      </w:rPr>
    </w:lvl>
    <w:lvl w:ilvl="7" w:tplc="6B7613A2">
      <w:numFmt w:val="bullet"/>
      <w:lvlText w:val="•"/>
      <w:lvlJc w:val="left"/>
      <w:pPr>
        <w:ind w:left="6550" w:hanging="370"/>
      </w:pPr>
      <w:rPr>
        <w:rFonts w:hint="default"/>
        <w:lang w:val="tr-TR" w:eastAsia="en-US" w:bidi="ar-SA"/>
      </w:rPr>
    </w:lvl>
    <w:lvl w:ilvl="8" w:tplc="A0729D96">
      <w:numFmt w:val="bullet"/>
      <w:lvlText w:val="•"/>
      <w:lvlJc w:val="left"/>
      <w:pPr>
        <w:ind w:left="7468" w:hanging="370"/>
      </w:pPr>
      <w:rPr>
        <w:rFonts w:hint="default"/>
        <w:lang w:val="tr-TR"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AB"/>
    <w:rsid w:val="00053E00"/>
    <w:rsid w:val="000D7929"/>
    <w:rsid w:val="00196B0C"/>
    <w:rsid w:val="001C6E44"/>
    <w:rsid w:val="001E79B9"/>
    <w:rsid w:val="00252763"/>
    <w:rsid w:val="00252AFF"/>
    <w:rsid w:val="00303188"/>
    <w:rsid w:val="003128E6"/>
    <w:rsid w:val="00367582"/>
    <w:rsid w:val="0037199A"/>
    <w:rsid w:val="00407ECD"/>
    <w:rsid w:val="00530CCC"/>
    <w:rsid w:val="0053506F"/>
    <w:rsid w:val="0069319E"/>
    <w:rsid w:val="006F7920"/>
    <w:rsid w:val="00785BCD"/>
    <w:rsid w:val="00803BDD"/>
    <w:rsid w:val="00806DE0"/>
    <w:rsid w:val="00823846"/>
    <w:rsid w:val="00827C5B"/>
    <w:rsid w:val="00836EB3"/>
    <w:rsid w:val="008822DB"/>
    <w:rsid w:val="00A133B5"/>
    <w:rsid w:val="00A823D3"/>
    <w:rsid w:val="00AC0EF5"/>
    <w:rsid w:val="00B160DE"/>
    <w:rsid w:val="00B17DF4"/>
    <w:rsid w:val="00B501A9"/>
    <w:rsid w:val="00BA3276"/>
    <w:rsid w:val="00BC7480"/>
    <w:rsid w:val="00BD7381"/>
    <w:rsid w:val="00BD7547"/>
    <w:rsid w:val="00CF764F"/>
    <w:rsid w:val="00D03605"/>
    <w:rsid w:val="00D92AF6"/>
    <w:rsid w:val="00D946AB"/>
    <w:rsid w:val="00DF4738"/>
    <w:rsid w:val="00E41CF3"/>
    <w:rsid w:val="00E54874"/>
    <w:rsid w:val="00E57A80"/>
    <w:rsid w:val="00EC78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ind w:left="116"/>
      <w:outlineLvl w:val="0"/>
    </w:pPr>
    <w:rPr>
      <w:b/>
      <w:bCs/>
      <w:sz w:val="24"/>
      <w:szCs w:val="24"/>
    </w:rPr>
  </w:style>
  <w:style w:type="paragraph" w:styleId="Heading2">
    <w:name w:val="heading 2"/>
    <w:basedOn w:val="Normal"/>
    <w:uiPriority w:val="1"/>
    <w:qFormat/>
    <w:pPr>
      <w:spacing w:before="184"/>
      <w:ind w:left="82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4"/>
      <w:ind w:left="116" w:right="114" w:firstLine="708"/>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A823D3"/>
    <w:rPr>
      <w:sz w:val="20"/>
      <w:szCs w:val="20"/>
    </w:rPr>
  </w:style>
  <w:style w:type="character" w:customStyle="1" w:styleId="FootnoteTextChar">
    <w:name w:val="Footnote Text Char"/>
    <w:basedOn w:val="DefaultParagraphFont"/>
    <w:link w:val="FootnoteText"/>
    <w:uiPriority w:val="99"/>
    <w:semiHidden/>
    <w:rsid w:val="00A823D3"/>
    <w:rPr>
      <w:rFonts w:ascii="Times New Roman" w:eastAsia="Times New Roman" w:hAnsi="Times New Roman" w:cs="Times New Roman"/>
      <w:sz w:val="20"/>
      <w:szCs w:val="20"/>
      <w:lang w:val="tr-TR"/>
    </w:rPr>
  </w:style>
  <w:style w:type="character" w:styleId="FootnoteReference">
    <w:name w:val="footnote reference"/>
    <w:basedOn w:val="DefaultParagraphFont"/>
    <w:uiPriority w:val="99"/>
    <w:semiHidden/>
    <w:unhideWhenUsed/>
    <w:rsid w:val="00A823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6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7BC2-63E8-4CE1-AAE0-97881082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2025-05-14T12:12:00Z</dcterms:created>
  <dcterms:modified xsi:type="dcterms:W3CDTF">2025-05-14T12:12:00Z</dcterms:modified>
</cp:coreProperties>
</file>