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B53F8" w14:textId="77777777" w:rsidR="008F58E2" w:rsidRPr="00877C51" w:rsidRDefault="008F58E2" w:rsidP="004F596C">
      <w:pPr>
        <w:ind w:firstLine="567"/>
        <w:rPr>
          <w:u w:val="single"/>
        </w:rPr>
      </w:pPr>
      <w:r w:rsidRPr="00877C51">
        <w:rPr>
          <w:u w:val="single"/>
        </w:rPr>
        <w:t>Enerji Piyasası Düzenleme Kurumundan:</w:t>
      </w:r>
    </w:p>
    <w:p w14:paraId="77F11952" w14:textId="77777777" w:rsidR="008F58E2" w:rsidRPr="00877C51" w:rsidRDefault="008F58E2" w:rsidP="008F58E2">
      <w:pPr>
        <w:contextualSpacing/>
        <w:jc w:val="left"/>
        <w:rPr>
          <w:rFonts w:eastAsia="Times New Roman"/>
          <w:b/>
        </w:rPr>
      </w:pPr>
    </w:p>
    <w:p w14:paraId="776562E2" w14:textId="77777777" w:rsidR="008D4A4F" w:rsidRPr="00877C51" w:rsidRDefault="008D4A4F" w:rsidP="007527B2">
      <w:pPr>
        <w:contextualSpacing/>
        <w:jc w:val="center"/>
        <w:rPr>
          <w:rFonts w:eastAsia="Times New Roman"/>
          <w:b/>
        </w:rPr>
      </w:pPr>
      <w:r w:rsidRPr="00877C51">
        <w:rPr>
          <w:rFonts w:eastAsia="Times New Roman"/>
          <w:b/>
        </w:rPr>
        <w:t>ELEKTRİK PİYASASINDA DEPOLAMA FAALİYETLERİ YÖNETMELİĞİ</w:t>
      </w:r>
    </w:p>
    <w:p w14:paraId="078F814D" w14:textId="77777777" w:rsidR="00340135" w:rsidRPr="00877C51" w:rsidRDefault="00340135" w:rsidP="007527B2">
      <w:pPr>
        <w:contextualSpacing/>
      </w:pPr>
    </w:p>
    <w:p w14:paraId="27600A91" w14:textId="77777777" w:rsidR="007527B2" w:rsidRPr="00877C51" w:rsidRDefault="007527B2" w:rsidP="007527B2">
      <w:pPr>
        <w:contextualSpacing/>
        <w:jc w:val="center"/>
      </w:pPr>
      <w:r w:rsidRPr="00877C51">
        <w:rPr>
          <w:b/>
          <w:bCs/>
        </w:rPr>
        <w:t>BİRİNCİ BÖLÜM</w:t>
      </w:r>
    </w:p>
    <w:p w14:paraId="2A821ADE" w14:textId="2E3011E2" w:rsidR="007527B2" w:rsidRPr="00877C51" w:rsidRDefault="007527B2" w:rsidP="007527B2">
      <w:pPr>
        <w:contextualSpacing/>
        <w:jc w:val="center"/>
      </w:pPr>
      <w:r w:rsidRPr="00877C51">
        <w:rPr>
          <w:b/>
          <w:bCs/>
        </w:rPr>
        <w:t>Amaç, Kapsam, Dayanak</w:t>
      </w:r>
      <w:r w:rsidR="004F596C" w:rsidRPr="00877C51">
        <w:rPr>
          <w:b/>
          <w:bCs/>
        </w:rPr>
        <w:t xml:space="preserve"> ve</w:t>
      </w:r>
      <w:r w:rsidRPr="00877C51">
        <w:rPr>
          <w:b/>
          <w:bCs/>
        </w:rPr>
        <w:t xml:space="preserve"> Tanımlar </w:t>
      </w:r>
    </w:p>
    <w:p w14:paraId="5C4D8758" w14:textId="77777777" w:rsidR="007527B2" w:rsidRPr="00877C51" w:rsidRDefault="007527B2" w:rsidP="007527B2">
      <w:pPr>
        <w:tabs>
          <w:tab w:val="left" w:pos="-5103"/>
        </w:tabs>
        <w:ind w:firstLine="567"/>
        <w:contextualSpacing/>
        <w:rPr>
          <w:rFonts w:eastAsia="Times New Roman"/>
          <w:b/>
        </w:rPr>
      </w:pPr>
    </w:p>
    <w:p w14:paraId="254E2CDD" w14:textId="77777777" w:rsidR="008D4A4F" w:rsidRPr="00877C51" w:rsidRDefault="008D4A4F" w:rsidP="007527B2">
      <w:pPr>
        <w:tabs>
          <w:tab w:val="left" w:pos="-5103"/>
        </w:tabs>
        <w:ind w:firstLine="567"/>
        <w:contextualSpacing/>
        <w:rPr>
          <w:rFonts w:eastAsia="Times New Roman"/>
          <w:b/>
        </w:rPr>
      </w:pPr>
      <w:r w:rsidRPr="00877C51">
        <w:rPr>
          <w:rFonts w:eastAsia="Times New Roman"/>
          <w:b/>
        </w:rPr>
        <w:t>Amaç ve kapsam</w:t>
      </w:r>
    </w:p>
    <w:p w14:paraId="431BD15C" w14:textId="77777777" w:rsidR="00C65E88" w:rsidRPr="00877C51" w:rsidRDefault="008D4A4F" w:rsidP="00C65E88">
      <w:pPr>
        <w:tabs>
          <w:tab w:val="left" w:pos="-5103"/>
        </w:tabs>
        <w:ind w:firstLine="567"/>
        <w:contextualSpacing/>
        <w:rPr>
          <w:rFonts w:eastAsia="Times New Roman"/>
        </w:rPr>
      </w:pPr>
      <w:r w:rsidRPr="00877C51">
        <w:rPr>
          <w:rFonts w:eastAsia="Times New Roman"/>
          <w:b/>
        </w:rPr>
        <w:t>MADDE 1 –</w:t>
      </w:r>
      <w:r w:rsidRPr="00877C51">
        <w:rPr>
          <w:rFonts w:eastAsia="Times New Roman"/>
        </w:rPr>
        <w:t xml:space="preserve"> (1) Bu Yönetmeliğin amacı; 14/3/2013 tarihli ve 6446 sayılı Elektrik Piyasası Kanunu kapsamında</w:t>
      </w:r>
      <w:r w:rsidR="004D7FEB" w:rsidRPr="00877C51">
        <w:rPr>
          <w:rFonts w:eastAsia="Times New Roman"/>
        </w:rPr>
        <w:t>,</w:t>
      </w:r>
      <w:r w:rsidR="00C65E88" w:rsidRPr="00877C51">
        <w:rPr>
          <w:rFonts w:eastAsia="Times New Roman"/>
        </w:rPr>
        <w:t xml:space="preserve"> </w:t>
      </w:r>
      <w:r w:rsidRPr="00877C51">
        <w:rPr>
          <w:rFonts w:eastAsia="Times New Roman"/>
        </w:rPr>
        <w:t xml:space="preserve">elektrik depolama </w:t>
      </w:r>
      <w:r w:rsidR="002F708E" w:rsidRPr="00877C51">
        <w:rPr>
          <w:rFonts w:eastAsia="Times New Roman"/>
        </w:rPr>
        <w:t xml:space="preserve">üniteleri veya </w:t>
      </w:r>
      <w:r w:rsidRPr="00877C51">
        <w:rPr>
          <w:rFonts w:eastAsia="Times New Roman"/>
        </w:rPr>
        <w:t xml:space="preserve">tesislerinin kurulmaları, iletim veya dağıtım sistemine bağlanmaları ile bu </w:t>
      </w:r>
      <w:r w:rsidR="002F708E" w:rsidRPr="00877C51">
        <w:rPr>
          <w:rFonts w:eastAsia="Times New Roman"/>
        </w:rPr>
        <w:t xml:space="preserve">ünite veya </w:t>
      </w:r>
      <w:r w:rsidR="00BA13EE" w:rsidRPr="00877C51">
        <w:rPr>
          <w:rFonts w:eastAsia="Times New Roman"/>
        </w:rPr>
        <w:t xml:space="preserve">tesislerin </w:t>
      </w:r>
      <w:r w:rsidR="00C65E88" w:rsidRPr="00877C51">
        <w:rPr>
          <w:rFonts w:eastAsia="Times New Roman"/>
        </w:rPr>
        <w:t>piyasa</w:t>
      </w:r>
      <w:r w:rsidRPr="00877C51">
        <w:rPr>
          <w:rFonts w:eastAsia="Times New Roman"/>
        </w:rPr>
        <w:t xml:space="preserve"> </w:t>
      </w:r>
      <w:r w:rsidR="00BA13EE" w:rsidRPr="00877C51">
        <w:rPr>
          <w:rFonts w:eastAsia="Times New Roman"/>
        </w:rPr>
        <w:t xml:space="preserve">faaliyetlerinde </w:t>
      </w:r>
      <w:r w:rsidRPr="00877C51">
        <w:rPr>
          <w:rFonts w:eastAsia="Times New Roman"/>
        </w:rPr>
        <w:t>kullan</w:t>
      </w:r>
      <w:r w:rsidR="003327BE" w:rsidRPr="00877C51">
        <w:rPr>
          <w:rFonts w:eastAsia="Times New Roman"/>
        </w:rPr>
        <w:t>ıl</w:t>
      </w:r>
      <w:r w:rsidRPr="00877C51">
        <w:rPr>
          <w:rFonts w:eastAsia="Times New Roman"/>
        </w:rPr>
        <w:t xml:space="preserve">malarına </w:t>
      </w:r>
      <w:r w:rsidR="00C65E88" w:rsidRPr="00877C51">
        <w:rPr>
          <w:rFonts w:eastAsia="Times New Roman"/>
        </w:rPr>
        <w:t>ilişkin usul ve esasları belirlemektir.</w:t>
      </w:r>
    </w:p>
    <w:p w14:paraId="1D3B7D4E" w14:textId="77777777" w:rsidR="008D4A4F" w:rsidRPr="00877C51" w:rsidRDefault="003327BE" w:rsidP="007527B2">
      <w:pPr>
        <w:tabs>
          <w:tab w:val="left" w:pos="-5103"/>
        </w:tabs>
        <w:ind w:firstLine="567"/>
        <w:contextualSpacing/>
        <w:rPr>
          <w:rFonts w:eastAsia="Times New Roman"/>
        </w:rPr>
      </w:pPr>
      <w:r w:rsidRPr="00877C51">
        <w:rPr>
          <w:rFonts w:eastAsia="Times New Roman"/>
        </w:rPr>
        <w:t xml:space="preserve"> </w:t>
      </w:r>
      <w:r w:rsidR="008D4A4F" w:rsidRPr="00877C51">
        <w:rPr>
          <w:rFonts w:eastAsia="Times New Roman"/>
        </w:rPr>
        <w:t>(2) Pompaj depolamalı hidroelektrik santraller ile enerji kesintisi sırasında kullanılmak üzere tesis edilen kesintisiz güç kaynakları bu Yönetmeliğin kapsamı dışındadır.</w:t>
      </w:r>
    </w:p>
    <w:p w14:paraId="0E42ECBC" w14:textId="77777777" w:rsidR="008D4A4F" w:rsidRPr="00877C51" w:rsidRDefault="008D4A4F" w:rsidP="007527B2">
      <w:pPr>
        <w:contextualSpacing/>
      </w:pPr>
    </w:p>
    <w:p w14:paraId="3880A224" w14:textId="77777777" w:rsidR="008D4A4F" w:rsidRPr="00877C51" w:rsidRDefault="003652D1" w:rsidP="007527B2">
      <w:pPr>
        <w:ind w:firstLine="567"/>
        <w:contextualSpacing/>
        <w:rPr>
          <w:rFonts w:eastAsia="Times New Roman"/>
          <w:b/>
        </w:rPr>
      </w:pPr>
      <w:r w:rsidRPr="00877C51">
        <w:rPr>
          <w:rFonts w:eastAsia="Times New Roman"/>
          <w:b/>
        </w:rPr>
        <w:t>D</w:t>
      </w:r>
      <w:r w:rsidR="008D4A4F" w:rsidRPr="00877C51">
        <w:rPr>
          <w:rFonts w:eastAsia="Times New Roman"/>
          <w:b/>
        </w:rPr>
        <w:t>ayanak</w:t>
      </w:r>
    </w:p>
    <w:p w14:paraId="39D9219C" w14:textId="77777777" w:rsidR="008D4A4F" w:rsidRPr="00877C51" w:rsidRDefault="008D4A4F" w:rsidP="007527B2">
      <w:pPr>
        <w:tabs>
          <w:tab w:val="left" w:pos="566"/>
        </w:tabs>
        <w:ind w:firstLine="567"/>
        <w:contextualSpacing/>
        <w:rPr>
          <w:rFonts w:eastAsia="Times New Roman"/>
        </w:rPr>
      </w:pPr>
      <w:r w:rsidRPr="00877C51">
        <w:rPr>
          <w:rFonts w:eastAsia="Times New Roman"/>
          <w:b/>
        </w:rPr>
        <w:t>MADDE 2 –</w:t>
      </w:r>
      <w:r w:rsidRPr="00877C51">
        <w:rPr>
          <w:rFonts w:eastAsia="Times New Roman"/>
        </w:rPr>
        <w:t xml:space="preserve"> (1) Bu Yönetmelik</w:t>
      </w:r>
      <w:r w:rsidR="004F596C" w:rsidRPr="00877C51">
        <w:rPr>
          <w:rFonts w:eastAsia="Times New Roman"/>
        </w:rPr>
        <w:t>,</w:t>
      </w:r>
      <w:r w:rsidRPr="00877C51">
        <w:rPr>
          <w:rFonts w:eastAsia="Times New Roman"/>
        </w:rPr>
        <w:t xml:space="preserve"> </w:t>
      </w:r>
      <w:r w:rsidR="004F596C" w:rsidRPr="00877C51">
        <w:rPr>
          <w:rFonts w:eastAsia="Times New Roman"/>
        </w:rPr>
        <w:t xml:space="preserve">14/3/2013 tarihli ve 6446 sayılı </w:t>
      </w:r>
      <w:r w:rsidRPr="00877C51">
        <w:rPr>
          <w:rFonts w:eastAsia="Times New Roman"/>
        </w:rPr>
        <w:t>Elektrik Piyasası Kanununa dayanılarak hazırlanmıştır.</w:t>
      </w:r>
    </w:p>
    <w:p w14:paraId="59EB320A" w14:textId="77777777" w:rsidR="007527B2" w:rsidRPr="00877C51" w:rsidRDefault="007527B2" w:rsidP="007527B2">
      <w:pPr>
        <w:tabs>
          <w:tab w:val="left" w:pos="566"/>
        </w:tabs>
        <w:ind w:firstLine="567"/>
        <w:contextualSpacing/>
        <w:rPr>
          <w:rFonts w:eastAsia="Times New Roman"/>
        </w:rPr>
      </w:pPr>
    </w:p>
    <w:p w14:paraId="2EEB97B4" w14:textId="77777777" w:rsidR="008D4A4F" w:rsidRPr="00877C51" w:rsidRDefault="008D4A4F" w:rsidP="007527B2">
      <w:pPr>
        <w:ind w:firstLine="567"/>
        <w:contextualSpacing/>
        <w:rPr>
          <w:rFonts w:eastAsia="Times New Roman"/>
          <w:b/>
        </w:rPr>
      </w:pPr>
      <w:r w:rsidRPr="00877C51">
        <w:rPr>
          <w:rFonts w:eastAsia="Times New Roman"/>
          <w:b/>
        </w:rPr>
        <w:t>Tanımlar</w:t>
      </w:r>
    </w:p>
    <w:p w14:paraId="1F27A7B7" w14:textId="77777777" w:rsidR="008D4A4F" w:rsidRPr="00877C51" w:rsidRDefault="008D4A4F" w:rsidP="007527B2">
      <w:pPr>
        <w:ind w:firstLine="567"/>
        <w:contextualSpacing/>
        <w:rPr>
          <w:rFonts w:eastAsia="Times New Roman"/>
        </w:rPr>
      </w:pPr>
      <w:r w:rsidRPr="00877C51">
        <w:rPr>
          <w:rFonts w:eastAsia="Times New Roman"/>
          <w:b/>
        </w:rPr>
        <w:t xml:space="preserve">MADDE 3 – </w:t>
      </w:r>
      <w:r w:rsidRPr="00877C51">
        <w:rPr>
          <w:rFonts w:eastAsia="Times New Roman"/>
        </w:rPr>
        <w:t>(1) Bu Yönetmelikte geçen;</w:t>
      </w:r>
    </w:p>
    <w:p w14:paraId="4F59CA5B" w14:textId="09A9AAA1" w:rsidR="0080017E" w:rsidRPr="00877C51" w:rsidRDefault="0080017E" w:rsidP="0080017E">
      <w:pPr>
        <w:tabs>
          <w:tab w:val="left" w:pos="566"/>
        </w:tabs>
        <w:spacing w:line="240" w:lineRule="exact"/>
      </w:pPr>
      <w:r w:rsidRPr="00877C51">
        <w:tab/>
      </w:r>
      <w:r w:rsidR="009C34D2" w:rsidRPr="00877C51">
        <w:t>a</w:t>
      </w:r>
      <w:r w:rsidR="008D4A4F" w:rsidRPr="00877C51">
        <w:t>)</w:t>
      </w:r>
      <w:r w:rsidR="001350F4">
        <w:rPr>
          <w:rStyle w:val="FootnoteReference"/>
        </w:rPr>
        <w:footnoteReference w:id="1"/>
      </w:r>
      <w:r w:rsidR="008D4A4F" w:rsidRPr="00877C51">
        <w:t xml:space="preserve"> </w:t>
      </w:r>
      <w:r w:rsidR="001350F4" w:rsidRPr="001D02AC">
        <w:rPr>
          <w:rFonts w:eastAsia="Calibri"/>
        </w:rPr>
        <w:t>Elektrik depolama tesisi: Elektrik enerjisini başka bir enerji türüne çevirerek depolayabilen ve depolanan enerjiyi kullanılmak üzere tekrar elektrik enerjisine çevirerek sisteme verebilen tesisi,</w:t>
      </w:r>
    </w:p>
    <w:p w14:paraId="42B4EBB6" w14:textId="77777777" w:rsidR="004D7FEB" w:rsidRPr="00877C51" w:rsidRDefault="009C34D2" w:rsidP="007527B2">
      <w:pPr>
        <w:shd w:val="clear" w:color="auto" w:fill="FFFFFF"/>
        <w:ind w:firstLine="567"/>
        <w:contextualSpacing/>
      </w:pPr>
      <w:r w:rsidRPr="00877C51">
        <w:t>b</w:t>
      </w:r>
      <w:r w:rsidR="008D4A4F" w:rsidRPr="00877C51">
        <w:t xml:space="preserve">) İlgili mevzuat: Elektrik piyasasına ilişkin kanun, Cumhurbaşkanlığı kararnamesi, Cumhurbaşkanı kararı, yönetmelik, tebliğ, </w:t>
      </w:r>
      <w:r w:rsidR="00850CD4" w:rsidRPr="00877C51">
        <w:t xml:space="preserve">lisans, </w:t>
      </w:r>
      <w:r w:rsidR="008D4A4F" w:rsidRPr="00877C51">
        <w:t>genelge ve Kurul kararları</w:t>
      </w:r>
      <w:r w:rsidR="006631B6" w:rsidRPr="00877C51">
        <w:t>nı</w:t>
      </w:r>
      <w:r w:rsidR="004D7FEB" w:rsidRPr="00877C51">
        <w:t>,</w:t>
      </w:r>
      <w:r w:rsidR="008D4A4F" w:rsidRPr="00877C51">
        <w:t xml:space="preserve"> </w:t>
      </w:r>
      <w:r w:rsidR="00850CD4" w:rsidRPr="00877C51">
        <w:t xml:space="preserve"> </w:t>
      </w:r>
    </w:p>
    <w:p w14:paraId="31C3791D" w14:textId="77777777" w:rsidR="008D4A4F" w:rsidRPr="00877C51" w:rsidRDefault="009C34D2" w:rsidP="007527B2">
      <w:pPr>
        <w:shd w:val="clear" w:color="auto" w:fill="FFFFFF"/>
        <w:ind w:firstLine="567"/>
        <w:contextualSpacing/>
      </w:pPr>
      <w:r w:rsidRPr="00877C51">
        <w:t>c</w:t>
      </w:r>
      <w:r w:rsidR="008D4A4F" w:rsidRPr="00877C51">
        <w:t>) İlgili standart: Elektrik depolama tesisinde kullanılacak teçhizat, bağlantı sistemi ve performans kriterlerine ilişkin olan, öncelik sırasına göre TS, EN, IEC, ISO ve diğer uluslararası standartları,</w:t>
      </w:r>
    </w:p>
    <w:p w14:paraId="330A18C4" w14:textId="77777777" w:rsidR="008D4A4F" w:rsidRPr="00877C51" w:rsidRDefault="009C34D2" w:rsidP="007527B2">
      <w:pPr>
        <w:ind w:firstLine="567"/>
        <w:contextualSpacing/>
      </w:pPr>
      <w:r w:rsidRPr="00877C51">
        <w:t>ç</w:t>
      </w:r>
      <w:r w:rsidR="008D4A4F" w:rsidRPr="00877C51">
        <w:t>) İlgili teknik mevzuat: Enerji ve Tabii Kaynaklar Bakanlığı tarafından çıkarılan ilgili yönetmelik, tebliğ ve diğer düzenlemeleri,</w:t>
      </w:r>
    </w:p>
    <w:p w14:paraId="2564D8C4" w14:textId="77777777" w:rsidR="00B97519" w:rsidRPr="00877C51" w:rsidRDefault="00B97519" w:rsidP="00B97519">
      <w:pPr>
        <w:ind w:firstLine="567"/>
        <w:contextualSpacing/>
      </w:pPr>
      <w:r w:rsidRPr="00877C51">
        <w:t>d) Kurul: Enerji Piyasası Düzenleme Kurulunu,</w:t>
      </w:r>
    </w:p>
    <w:p w14:paraId="28DCAE92" w14:textId="77777777" w:rsidR="00B97519" w:rsidRPr="00877C51" w:rsidRDefault="00B97519" w:rsidP="00B97519">
      <w:pPr>
        <w:ind w:firstLine="567"/>
        <w:contextualSpacing/>
      </w:pPr>
      <w:r w:rsidRPr="00877C51">
        <w:t>e) Kurum: Enerji Piyasası Düzenleme Kurumunu,</w:t>
      </w:r>
    </w:p>
    <w:p w14:paraId="70F2071E" w14:textId="052ACC11" w:rsidR="008D4A4F" w:rsidRPr="00877C51" w:rsidRDefault="00B97519" w:rsidP="007527B2">
      <w:pPr>
        <w:ind w:firstLine="567"/>
        <w:contextualSpacing/>
      </w:pPr>
      <w:r w:rsidRPr="00877C51">
        <w:t>f</w:t>
      </w:r>
      <w:r w:rsidR="008D4A4F" w:rsidRPr="00877C51">
        <w:t>) Müstakil elektrik depolama tesisi: Herhangi bir üretim veya tüketim tesisiyle irtibatı olmaksızın doğrudan şebekeye bağlı elektrik depolama tesisini,</w:t>
      </w:r>
    </w:p>
    <w:p w14:paraId="1007F220" w14:textId="1105E766" w:rsidR="008D4A4F" w:rsidRPr="00877C51" w:rsidRDefault="00B97519" w:rsidP="007527B2">
      <w:pPr>
        <w:ind w:firstLine="567"/>
        <w:contextualSpacing/>
      </w:pPr>
      <w:r w:rsidRPr="00877C51">
        <w:t>g</w:t>
      </w:r>
      <w:r w:rsidR="008D4A4F" w:rsidRPr="00877C51">
        <w:t xml:space="preserve">) Şebeke </w:t>
      </w:r>
      <w:r w:rsidR="004F596C" w:rsidRPr="00877C51">
        <w:t>işletmecisi</w:t>
      </w:r>
      <w:r w:rsidR="008D4A4F" w:rsidRPr="00877C51">
        <w:t xml:space="preserve">: </w:t>
      </w:r>
      <w:r w:rsidR="00694369" w:rsidRPr="00877C51">
        <w:t xml:space="preserve">36 kV ve altındaki şebeke için ilgili dağıtım </w:t>
      </w:r>
      <w:r w:rsidR="002631B5" w:rsidRPr="00877C51">
        <w:t>lisansı sahibi tüzel kişiyi</w:t>
      </w:r>
      <w:r w:rsidR="00694369" w:rsidRPr="00877C51">
        <w:t xml:space="preserve">, 36 </w:t>
      </w:r>
      <w:r w:rsidR="005D42BD" w:rsidRPr="00877C51">
        <w:t>kV</w:t>
      </w:r>
      <w:r w:rsidR="00694369" w:rsidRPr="00877C51">
        <w:t xml:space="preserve"> </w:t>
      </w:r>
      <w:r w:rsidR="00040CC0" w:rsidRPr="00877C51">
        <w:t xml:space="preserve">üstü </w:t>
      </w:r>
      <w:r w:rsidR="00694369" w:rsidRPr="00877C51">
        <w:t>şebeke için TEİAŞ’ı</w:t>
      </w:r>
      <w:r w:rsidR="008D4A4F" w:rsidRPr="00877C51">
        <w:t>,</w:t>
      </w:r>
      <w:r w:rsidR="00FB1087" w:rsidRPr="00877C51">
        <w:t xml:space="preserve"> </w:t>
      </w:r>
    </w:p>
    <w:p w14:paraId="1BE08294" w14:textId="2A8AF8FE" w:rsidR="008D4A4F" w:rsidRPr="00877C51" w:rsidRDefault="00B97519" w:rsidP="007527B2">
      <w:pPr>
        <w:ind w:firstLine="567"/>
        <w:contextualSpacing/>
      </w:pPr>
      <w:r w:rsidRPr="00877C51">
        <w:t>ğ</w:t>
      </w:r>
      <w:r w:rsidR="008D4A4F" w:rsidRPr="00877C51">
        <w:t>) TEİAŞ: Türkiye Elektrik İletim Anonim Şirketini,</w:t>
      </w:r>
    </w:p>
    <w:p w14:paraId="0EFE3026" w14:textId="1ECB4B21" w:rsidR="008D4A4F" w:rsidRPr="00877C51" w:rsidRDefault="00B97519" w:rsidP="007527B2">
      <w:pPr>
        <w:ind w:firstLine="567"/>
        <w:contextualSpacing/>
      </w:pPr>
      <w:r w:rsidRPr="00877C51">
        <w:t>h</w:t>
      </w:r>
      <w:r w:rsidR="008D4A4F" w:rsidRPr="00877C51">
        <w:t xml:space="preserve">) Toptan elektrik piyasası: Elektrik enerjisi, kapasitesi ya da bunların türev ürünlerinin toptan alış-satışının gerçekleştirildiği; ikili anlaşmalar piyasası ya da piyasa ve/veya </w:t>
      </w:r>
      <w:r w:rsidR="004F596C" w:rsidRPr="00877C51">
        <w:t>s</w:t>
      </w:r>
      <w:r w:rsidR="008D4A4F" w:rsidRPr="00877C51">
        <w:t xml:space="preserve">istem </w:t>
      </w:r>
      <w:r w:rsidR="004F596C" w:rsidRPr="00877C51">
        <w:t>i</w:t>
      </w:r>
      <w:r w:rsidR="008D4A4F" w:rsidRPr="00877C51">
        <w:t>şletmecisi</w:t>
      </w:r>
      <w:r w:rsidR="008D0178" w:rsidRPr="00877C51">
        <w:t xml:space="preserve"> </w:t>
      </w:r>
      <w:r w:rsidR="008D4A4F" w:rsidRPr="00877C51">
        <w:t>tarafından organize edilen vadeli elektrik piyasası, gün öncesi piyasası, gün içi piyasası, dengeleme güç piyasası, yan hizmetler gibi elektrik piyasalarını,</w:t>
      </w:r>
    </w:p>
    <w:p w14:paraId="4889E71D" w14:textId="0D7F131D" w:rsidR="009C34D2" w:rsidRPr="00877C51" w:rsidRDefault="00B97519" w:rsidP="00654EC2">
      <w:pPr>
        <w:ind w:firstLine="567"/>
      </w:pPr>
      <w:r w:rsidRPr="00877C51">
        <w:lastRenderedPageBreak/>
        <w:t>ı</w:t>
      </w:r>
      <w:r w:rsidR="009C34D2" w:rsidRPr="00877C51">
        <w:t xml:space="preserve">) Tüketim tesisine bütünleşik elektrik depolama tesisi: Bir tüketim tesisiyle aynı ölçüm noktasına bağlı elektrik depolama tesisini, </w:t>
      </w:r>
    </w:p>
    <w:p w14:paraId="6D741E0C" w14:textId="5F0D0884" w:rsidR="00E439C9" w:rsidRPr="00877C51" w:rsidRDefault="00B97519" w:rsidP="007527B2">
      <w:pPr>
        <w:ind w:firstLine="567"/>
        <w:contextualSpacing/>
      </w:pPr>
      <w:r w:rsidRPr="00877C51">
        <w:t>i</w:t>
      </w:r>
      <w:r w:rsidR="00E439C9" w:rsidRPr="00877C51">
        <w:t>) Üretim tesisine bütünleşik elektrik depolama ünitesi: Santral sahası sınırları içerisinde, üretim tesisinde üretilen veya sistemden çekilen elektrik enerjisini depolayabilen ve depolanan enerjiyi tekrar kullanılmak üzere sisteme verebilen elektrik depolama ünitesini,</w:t>
      </w:r>
    </w:p>
    <w:p w14:paraId="1AB19C63" w14:textId="120C86A6" w:rsidR="008D4A4F" w:rsidRPr="00877C51" w:rsidRDefault="00B97519" w:rsidP="007527B2">
      <w:pPr>
        <w:ind w:firstLine="567"/>
        <w:contextualSpacing/>
      </w:pPr>
      <w:r w:rsidRPr="00877C51">
        <w:t>j</w:t>
      </w:r>
      <w:r w:rsidR="008D4A4F" w:rsidRPr="00877C51">
        <w:t xml:space="preserve">) Yan hizmetler: </w:t>
      </w:r>
      <w:r w:rsidR="009D26C4" w:rsidRPr="00877C51">
        <w:t xml:space="preserve">26/11/2017 tarihli ve 30252 sayılı Resmî Gazete’de yayımlanan </w:t>
      </w:r>
      <w:r w:rsidR="008D4A4F" w:rsidRPr="00877C51">
        <w:t xml:space="preserve">Elektrik Piyasası Yan Hizmetler Yönetmeliğinde tanımlanan </w:t>
      </w:r>
      <w:r w:rsidR="003B1D3A" w:rsidRPr="00877C51">
        <w:t xml:space="preserve">yan </w:t>
      </w:r>
      <w:r w:rsidR="008D4A4F" w:rsidRPr="00877C51">
        <w:t>hizmetleri,</w:t>
      </w:r>
    </w:p>
    <w:p w14:paraId="2AC93657" w14:textId="4C53438C" w:rsidR="008D4A4F" w:rsidRDefault="00B97519" w:rsidP="007527B2">
      <w:pPr>
        <w:ind w:firstLine="567"/>
        <w:contextualSpacing/>
      </w:pPr>
      <w:r w:rsidRPr="00877C51">
        <w:t>k</w:t>
      </w:r>
      <w:r w:rsidR="008D4A4F" w:rsidRPr="00877C51">
        <w:t xml:space="preserve">) YEK Destekleme Mekanizması (YEKDEM): </w:t>
      </w:r>
      <w:r w:rsidR="004F596C" w:rsidRPr="00877C51">
        <w:t xml:space="preserve">10/5/2005 tarihli ve </w:t>
      </w:r>
      <w:r w:rsidR="008D4A4F" w:rsidRPr="00877C51">
        <w:t xml:space="preserve">5346 sayılı Yenilenebilir Enerji Kaynaklarının Elektrik Enerjisi Üretimi Amaçlı </w:t>
      </w:r>
      <w:r w:rsidR="004F596C" w:rsidRPr="00877C51">
        <w:t xml:space="preserve">Kullanımına İlişkin </w:t>
      </w:r>
      <w:r w:rsidR="008D4A4F" w:rsidRPr="00877C51">
        <w:t>Kanun ve diğer ilgili mevzuat uyarınca yenilenebilir enerji kaynaklarına dayalı üretim faaliyeti gösteren üretim lisansı sahibi tüzel kişilerin bizzat ve muafiyetli üretim kapsamında yenilenebilir enerji kaynaklarından üretim yapan kişilerin bölgelerinde bulundukları görevli tedarik şirketleri aracılığıyla faydalanabileceği fiyatlar, süreler, miktarlar ve bunlara yapılacak ödemelere ilişkin usul ve esasları içeren destekleme mekanizmasını,</w:t>
      </w:r>
    </w:p>
    <w:p w14:paraId="315327CE" w14:textId="0DBF75DF" w:rsidR="001350F4" w:rsidRPr="00877C51" w:rsidRDefault="001350F4" w:rsidP="007527B2">
      <w:pPr>
        <w:ind w:firstLine="567"/>
        <w:contextualSpacing/>
      </w:pPr>
      <w:r w:rsidRPr="001D02AC">
        <w:t>l)</w:t>
      </w:r>
      <w:r>
        <w:rPr>
          <w:rStyle w:val="FootnoteReference"/>
        </w:rPr>
        <w:footnoteReference w:id="2"/>
      </w:r>
      <w:r w:rsidRPr="001D02AC">
        <w:t xml:space="preserve"> Depolamalı elektrik üretim tesisi: Kanunun 7 nci maddesinin onuncu ve on</w:t>
      </w:r>
      <w:r>
        <w:t xml:space="preserve"> </w:t>
      </w:r>
      <w:r w:rsidRPr="001D02AC">
        <w:t>birinci fıkraları kapsamında kurulan üretim tesisini</w:t>
      </w:r>
    </w:p>
    <w:p w14:paraId="0436802D" w14:textId="77777777" w:rsidR="008D4A4F" w:rsidRPr="00877C51" w:rsidRDefault="008D4A4F" w:rsidP="007527B2">
      <w:pPr>
        <w:ind w:firstLine="567"/>
        <w:contextualSpacing/>
      </w:pPr>
      <w:r w:rsidRPr="00877C51">
        <w:t>ifade eder.</w:t>
      </w:r>
    </w:p>
    <w:p w14:paraId="39DFE649" w14:textId="714F3CDA" w:rsidR="008D4A4F" w:rsidRPr="00877C51" w:rsidRDefault="008D4A4F" w:rsidP="007527B2">
      <w:pPr>
        <w:ind w:firstLine="567"/>
        <w:contextualSpacing/>
      </w:pPr>
      <w:r w:rsidRPr="00877C51">
        <w:t xml:space="preserve">(2) Bu Yönetmelikte </w:t>
      </w:r>
      <w:r w:rsidR="004F596C" w:rsidRPr="00877C51">
        <w:t>geçen ve birinci fıkrada yer almayan tanımlar</w:t>
      </w:r>
      <w:r w:rsidRPr="00877C51">
        <w:t xml:space="preserve"> ilgili mevzuattaki anlam ve kapsama sahiptir.</w:t>
      </w:r>
    </w:p>
    <w:p w14:paraId="5D92513D" w14:textId="77777777" w:rsidR="008D4A4F" w:rsidRPr="00877C51" w:rsidRDefault="008D4A4F" w:rsidP="007527B2">
      <w:pPr>
        <w:contextualSpacing/>
      </w:pPr>
    </w:p>
    <w:p w14:paraId="51437F61" w14:textId="77777777" w:rsidR="008D4A4F" w:rsidRPr="00877C51" w:rsidRDefault="008D4A4F" w:rsidP="007527B2">
      <w:pPr>
        <w:ind w:firstLine="567"/>
        <w:contextualSpacing/>
        <w:jc w:val="center"/>
        <w:rPr>
          <w:rFonts w:eastAsia="Times New Roman"/>
          <w:b/>
        </w:rPr>
      </w:pPr>
      <w:r w:rsidRPr="00877C51">
        <w:rPr>
          <w:rFonts w:eastAsia="Times New Roman"/>
          <w:b/>
        </w:rPr>
        <w:t>İKİNCİ BÖLÜM</w:t>
      </w:r>
    </w:p>
    <w:p w14:paraId="257A8D7F" w14:textId="77777777" w:rsidR="00B97519" w:rsidRPr="00877C51" w:rsidRDefault="008D4A4F" w:rsidP="007527B2">
      <w:pPr>
        <w:ind w:firstLine="567"/>
        <w:contextualSpacing/>
        <w:jc w:val="center"/>
        <w:rPr>
          <w:rFonts w:eastAsia="Times New Roman"/>
          <w:b/>
        </w:rPr>
      </w:pPr>
      <w:r w:rsidRPr="00877C51">
        <w:rPr>
          <w:rFonts w:eastAsia="Times New Roman"/>
          <w:b/>
        </w:rPr>
        <w:t xml:space="preserve">Elektrik Depolama </w:t>
      </w:r>
      <w:r w:rsidR="006B4284" w:rsidRPr="00877C51">
        <w:rPr>
          <w:rFonts w:eastAsia="Times New Roman"/>
          <w:b/>
        </w:rPr>
        <w:t>Ünite</w:t>
      </w:r>
      <w:r w:rsidR="00587EC7" w:rsidRPr="00877C51">
        <w:rPr>
          <w:rFonts w:eastAsia="Times New Roman"/>
          <w:b/>
        </w:rPr>
        <w:t>si</w:t>
      </w:r>
      <w:r w:rsidR="006B4284" w:rsidRPr="00877C51">
        <w:rPr>
          <w:rFonts w:eastAsia="Times New Roman"/>
          <w:b/>
        </w:rPr>
        <w:t xml:space="preserve"> ve </w:t>
      </w:r>
      <w:r w:rsidRPr="00877C51">
        <w:rPr>
          <w:rFonts w:eastAsia="Times New Roman"/>
          <w:b/>
        </w:rPr>
        <w:t xml:space="preserve">Tesisleri </w:t>
      </w:r>
      <w:r w:rsidR="006B4284" w:rsidRPr="00877C51">
        <w:rPr>
          <w:rFonts w:eastAsia="Times New Roman"/>
          <w:b/>
        </w:rPr>
        <w:t>ile</w:t>
      </w:r>
      <w:r w:rsidR="00802227" w:rsidRPr="00877C51">
        <w:rPr>
          <w:rFonts w:eastAsia="Times New Roman"/>
          <w:b/>
        </w:rPr>
        <w:t xml:space="preserve"> Bu </w:t>
      </w:r>
      <w:r w:rsidR="006B4284" w:rsidRPr="00877C51">
        <w:rPr>
          <w:rFonts w:eastAsia="Times New Roman"/>
          <w:b/>
        </w:rPr>
        <w:t xml:space="preserve">Ünite ve </w:t>
      </w:r>
      <w:r w:rsidR="00802227" w:rsidRPr="00877C51">
        <w:rPr>
          <w:rFonts w:eastAsia="Times New Roman"/>
          <w:b/>
        </w:rPr>
        <w:t xml:space="preserve">Tesisler </w:t>
      </w:r>
    </w:p>
    <w:p w14:paraId="69931222" w14:textId="77777777" w:rsidR="008D4A4F" w:rsidRPr="00877C51" w:rsidRDefault="008D4A4F" w:rsidP="007527B2">
      <w:pPr>
        <w:ind w:firstLine="567"/>
        <w:contextualSpacing/>
        <w:jc w:val="center"/>
        <w:rPr>
          <w:rFonts w:eastAsia="Times New Roman"/>
          <w:b/>
        </w:rPr>
      </w:pPr>
      <w:r w:rsidRPr="00877C51">
        <w:rPr>
          <w:rFonts w:eastAsia="Times New Roman"/>
          <w:b/>
        </w:rPr>
        <w:t xml:space="preserve">Vasıtasıyla Yürütülebilecek Faaliyetler </w:t>
      </w:r>
    </w:p>
    <w:p w14:paraId="4A2B89C1" w14:textId="77777777" w:rsidR="008D4A4F" w:rsidRPr="00877C51" w:rsidRDefault="008D4A4F" w:rsidP="007527B2">
      <w:pPr>
        <w:contextualSpacing/>
      </w:pPr>
    </w:p>
    <w:p w14:paraId="03507E12" w14:textId="77777777" w:rsidR="008D4A4F" w:rsidRPr="00877C51" w:rsidRDefault="008D4A4F" w:rsidP="007527B2">
      <w:pPr>
        <w:ind w:firstLine="567"/>
        <w:contextualSpacing/>
        <w:rPr>
          <w:rFonts w:eastAsia="Times New Roman"/>
          <w:b/>
          <w:lang w:eastAsia="tr-TR"/>
        </w:rPr>
      </w:pPr>
      <w:r w:rsidRPr="00877C51">
        <w:rPr>
          <w:rFonts w:eastAsia="Times New Roman"/>
          <w:b/>
          <w:lang w:eastAsia="tr-TR"/>
        </w:rPr>
        <w:t xml:space="preserve">Elektrik depolama </w:t>
      </w:r>
      <w:r w:rsidR="006B4284" w:rsidRPr="00877C51">
        <w:rPr>
          <w:rFonts w:eastAsia="Times New Roman"/>
          <w:b/>
          <w:lang w:eastAsia="tr-TR"/>
        </w:rPr>
        <w:t>ünite</w:t>
      </w:r>
      <w:r w:rsidR="00587EC7" w:rsidRPr="00877C51">
        <w:rPr>
          <w:rFonts w:eastAsia="Times New Roman"/>
          <w:b/>
          <w:lang w:eastAsia="tr-TR"/>
        </w:rPr>
        <w:t>si</w:t>
      </w:r>
      <w:r w:rsidR="006B4284" w:rsidRPr="00877C51">
        <w:rPr>
          <w:rFonts w:eastAsia="Times New Roman"/>
          <w:b/>
          <w:lang w:eastAsia="tr-TR"/>
        </w:rPr>
        <w:t xml:space="preserve"> ve </w:t>
      </w:r>
      <w:r w:rsidRPr="00877C51">
        <w:rPr>
          <w:rFonts w:eastAsia="Times New Roman"/>
          <w:b/>
        </w:rPr>
        <w:t xml:space="preserve">tesisleri </w:t>
      </w:r>
      <w:r w:rsidR="006B4284" w:rsidRPr="00877C51">
        <w:rPr>
          <w:rFonts w:eastAsia="Times New Roman"/>
          <w:b/>
        </w:rPr>
        <w:t xml:space="preserve">ile </w:t>
      </w:r>
      <w:r w:rsidRPr="00877C51">
        <w:rPr>
          <w:rFonts w:eastAsia="Times New Roman"/>
          <w:b/>
        </w:rPr>
        <w:t xml:space="preserve">kurulum </w:t>
      </w:r>
      <w:r w:rsidR="006B4284" w:rsidRPr="00877C51">
        <w:rPr>
          <w:rFonts w:eastAsia="Times New Roman"/>
          <w:b/>
        </w:rPr>
        <w:t>ve</w:t>
      </w:r>
      <w:r w:rsidR="000B59E8" w:rsidRPr="00877C51">
        <w:rPr>
          <w:rFonts w:eastAsia="Times New Roman"/>
          <w:b/>
        </w:rPr>
        <w:t xml:space="preserve"> bağlantı </w:t>
      </w:r>
      <w:r w:rsidRPr="00877C51">
        <w:rPr>
          <w:rFonts w:eastAsia="Times New Roman"/>
          <w:b/>
          <w:bCs/>
          <w:lang w:eastAsia="tr-TR"/>
        </w:rPr>
        <w:t>esasları</w:t>
      </w:r>
    </w:p>
    <w:p w14:paraId="42011A8F" w14:textId="77777777" w:rsidR="008D4A4F" w:rsidRPr="00877C51" w:rsidRDefault="008D4A4F" w:rsidP="007527B2">
      <w:pPr>
        <w:ind w:firstLine="567"/>
        <w:contextualSpacing/>
        <w:rPr>
          <w:rFonts w:eastAsia="Times New Roman"/>
          <w:lang w:eastAsia="tr-TR"/>
        </w:rPr>
      </w:pPr>
      <w:r w:rsidRPr="00877C51">
        <w:rPr>
          <w:rFonts w:eastAsia="Times New Roman"/>
          <w:b/>
          <w:bCs/>
          <w:lang w:eastAsia="tr-TR"/>
        </w:rPr>
        <w:t>MADDE 4 –</w:t>
      </w:r>
      <w:r w:rsidRPr="00877C51">
        <w:rPr>
          <w:rFonts w:eastAsia="Times New Roman"/>
          <w:lang w:eastAsia="tr-TR"/>
        </w:rPr>
        <w:t xml:space="preserve"> (1) Elektrik depolama </w:t>
      </w:r>
      <w:r w:rsidR="00011249" w:rsidRPr="00877C51">
        <w:rPr>
          <w:rFonts w:eastAsia="Times New Roman"/>
          <w:lang w:eastAsia="tr-TR"/>
        </w:rPr>
        <w:t>ünite</w:t>
      </w:r>
      <w:r w:rsidR="00EF08F1" w:rsidRPr="00877C51">
        <w:rPr>
          <w:rFonts w:eastAsia="Times New Roman"/>
          <w:lang w:eastAsia="tr-TR"/>
        </w:rPr>
        <w:t>si</w:t>
      </w:r>
      <w:r w:rsidR="00541895" w:rsidRPr="00877C51">
        <w:rPr>
          <w:rFonts w:eastAsia="Times New Roman"/>
          <w:lang w:eastAsia="tr-TR"/>
        </w:rPr>
        <w:t xml:space="preserve"> veya </w:t>
      </w:r>
      <w:r w:rsidRPr="00877C51">
        <w:rPr>
          <w:rFonts w:eastAsia="Times New Roman"/>
          <w:lang w:eastAsia="tr-TR"/>
        </w:rPr>
        <w:t>tesis</w:t>
      </w:r>
      <w:r w:rsidR="00A928A3" w:rsidRPr="00877C51">
        <w:rPr>
          <w:rFonts w:eastAsia="Times New Roman"/>
          <w:lang w:eastAsia="tr-TR"/>
        </w:rPr>
        <w:t>i</w:t>
      </w:r>
      <w:r w:rsidRPr="00877C51">
        <w:rPr>
          <w:rFonts w:eastAsia="Times New Roman"/>
          <w:lang w:eastAsia="tr-TR"/>
        </w:rPr>
        <w:t xml:space="preserve"> vasıtasıyla yürütülebilecek</w:t>
      </w:r>
      <w:r w:rsidR="000F6E18" w:rsidRPr="00877C51">
        <w:rPr>
          <w:rFonts w:eastAsia="Times New Roman"/>
          <w:lang w:eastAsia="tr-TR"/>
        </w:rPr>
        <w:t xml:space="preserve"> </w:t>
      </w:r>
      <w:r w:rsidRPr="00877C51">
        <w:rPr>
          <w:rFonts w:eastAsia="Times New Roman"/>
          <w:lang w:eastAsia="tr-TR"/>
        </w:rPr>
        <w:t>faaliyetler</w:t>
      </w:r>
      <w:r w:rsidR="000F6E18" w:rsidRPr="00877C51">
        <w:rPr>
          <w:rFonts w:eastAsia="Times New Roman"/>
          <w:lang w:eastAsia="tr-TR"/>
        </w:rPr>
        <w:t xml:space="preserve"> </w:t>
      </w:r>
      <w:r w:rsidRPr="00877C51">
        <w:rPr>
          <w:rFonts w:eastAsia="Times New Roman"/>
          <w:lang w:eastAsia="tr-TR"/>
        </w:rPr>
        <w:t xml:space="preserve">bu Yönetmelik hükümlerinde düzenlenmiş sınırlar içerisinde; </w:t>
      </w:r>
    </w:p>
    <w:p w14:paraId="3F64A543" w14:textId="77777777" w:rsidR="008D4A4F" w:rsidRPr="00877C51" w:rsidRDefault="008D4A4F" w:rsidP="007527B2">
      <w:pPr>
        <w:ind w:firstLine="567"/>
        <w:contextualSpacing/>
      </w:pPr>
      <w:r w:rsidRPr="00877C51">
        <w:rPr>
          <w:rFonts w:eastAsia="Times New Roman"/>
          <w:lang w:eastAsia="tr-TR"/>
        </w:rPr>
        <w:t xml:space="preserve">a) Üretim tesisine </w:t>
      </w:r>
      <w:r w:rsidRPr="00877C51">
        <w:t>bütünleşik</w:t>
      </w:r>
      <w:r w:rsidR="00937028" w:rsidRPr="00877C51">
        <w:t xml:space="preserve"> elektrik depolama ünite</w:t>
      </w:r>
      <w:r w:rsidR="00011249" w:rsidRPr="00877C51">
        <w:t>si</w:t>
      </w:r>
      <w:r w:rsidR="000F6E18" w:rsidRPr="00877C51">
        <w:t>,</w:t>
      </w:r>
    </w:p>
    <w:p w14:paraId="1324C67F" w14:textId="77777777" w:rsidR="008D4A4F" w:rsidRPr="00877C51" w:rsidRDefault="0063088F" w:rsidP="007527B2">
      <w:pPr>
        <w:ind w:firstLine="567"/>
        <w:contextualSpacing/>
      </w:pPr>
      <w:r w:rsidRPr="00877C51">
        <w:t xml:space="preserve">b) </w:t>
      </w:r>
      <w:r w:rsidR="008D4A4F" w:rsidRPr="00877C51">
        <w:t>Tüketim tesisine bütünleşik</w:t>
      </w:r>
      <w:r w:rsidR="006B4284" w:rsidRPr="00877C51">
        <w:t xml:space="preserve"> </w:t>
      </w:r>
      <w:r w:rsidR="00227FA1" w:rsidRPr="00877C51">
        <w:t xml:space="preserve">elektrik depolama </w:t>
      </w:r>
      <w:r w:rsidR="006B4284" w:rsidRPr="00877C51">
        <w:t>tesis</w:t>
      </w:r>
      <w:r w:rsidR="00011249" w:rsidRPr="00877C51">
        <w:t>i</w:t>
      </w:r>
      <w:r w:rsidR="008D4A4F" w:rsidRPr="00877C51">
        <w:t>,</w:t>
      </w:r>
    </w:p>
    <w:p w14:paraId="04DFB0BC" w14:textId="77777777" w:rsidR="008D4A4F" w:rsidRPr="00877C51" w:rsidRDefault="008D4A4F" w:rsidP="007527B2">
      <w:pPr>
        <w:ind w:firstLine="567"/>
        <w:contextualSpacing/>
      </w:pPr>
      <w:r w:rsidRPr="00877C51">
        <w:t>c) Müstakil</w:t>
      </w:r>
      <w:r w:rsidR="006B4284" w:rsidRPr="00877C51">
        <w:t xml:space="preserve"> elektrik depolama tesis</w:t>
      </w:r>
      <w:r w:rsidR="00011249" w:rsidRPr="00877C51">
        <w:t>i</w:t>
      </w:r>
      <w:r w:rsidRPr="00877C51">
        <w:t>,</w:t>
      </w:r>
    </w:p>
    <w:p w14:paraId="148BD16D" w14:textId="7FBDDBC8" w:rsidR="00873411" w:rsidRPr="00877C51" w:rsidRDefault="008D4A4F" w:rsidP="00924D6E">
      <w:pPr>
        <w:ind w:firstLine="567"/>
        <w:contextualSpacing/>
        <w:rPr>
          <w:rFonts w:eastAsia="Times New Roman"/>
          <w:lang w:eastAsia="tr-TR"/>
        </w:rPr>
      </w:pPr>
      <w:r w:rsidRPr="00877C51">
        <w:t>ç)</w:t>
      </w:r>
      <w:r w:rsidR="009239AA">
        <w:rPr>
          <w:rStyle w:val="FootnoteReference"/>
        </w:rPr>
        <w:footnoteReference w:id="3"/>
      </w:r>
      <w:r w:rsidRPr="00877C51">
        <w:t xml:space="preserve"> </w:t>
      </w:r>
      <w:r w:rsidR="009239AA" w:rsidRPr="001D02AC">
        <w:rPr>
          <w:rFonts w:eastAsia="Calibri"/>
        </w:rPr>
        <w:t xml:space="preserve">Şebeke işletmecileri tarafından kurulan </w:t>
      </w:r>
      <w:r w:rsidR="009239AA" w:rsidRPr="001D02AC">
        <w:t>elektrik depolama tesisi,</w:t>
      </w:r>
    </w:p>
    <w:p w14:paraId="52EDEDC1" w14:textId="77777777" w:rsidR="008D4A4F" w:rsidRPr="00877C51" w:rsidRDefault="008D4A4F" w:rsidP="00924D6E">
      <w:pPr>
        <w:ind w:firstLine="567"/>
        <w:contextualSpacing/>
        <w:rPr>
          <w:rFonts w:eastAsia="Times New Roman"/>
          <w:lang w:eastAsia="tr-TR"/>
        </w:rPr>
      </w:pPr>
      <w:r w:rsidRPr="00877C51">
        <w:rPr>
          <w:rFonts w:eastAsia="Times New Roman"/>
          <w:lang w:eastAsia="tr-TR"/>
        </w:rPr>
        <w:t>vasıtasıyla gerçekleştirilebilir.</w:t>
      </w:r>
    </w:p>
    <w:p w14:paraId="0CC6F6EF" w14:textId="11A70D07" w:rsidR="00C81C6A" w:rsidRPr="00877C51" w:rsidRDefault="00C81C6A" w:rsidP="002950A1">
      <w:pPr>
        <w:ind w:firstLine="567"/>
        <w:contextualSpacing/>
        <w:rPr>
          <w:rFonts w:eastAsia="Times New Roman"/>
          <w:lang w:eastAsia="tr-TR"/>
        </w:rPr>
      </w:pPr>
      <w:r w:rsidRPr="00877C51">
        <w:rPr>
          <w:rFonts w:eastAsia="Times New Roman"/>
          <w:lang w:eastAsia="tr-TR"/>
        </w:rPr>
        <w:t xml:space="preserve">(2) </w:t>
      </w:r>
      <w:r w:rsidR="000473CD" w:rsidRPr="00877C51">
        <w:rPr>
          <w:rFonts w:eastAsia="Times New Roman"/>
          <w:lang w:eastAsia="tr-TR"/>
        </w:rPr>
        <w:t>Üretim tesisine</w:t>
      </w:r>
      <w:r w:rsidR="000B59E8" w:rsidRPr="00877C51">
        <w:rPr>
          <w:rFonts w:eastAsia="Times New Roman"/>
          <w:lang w:eastAsia="tr-TR"/>
        </w:rPr>
        <w:t xml:space="preserve"> bütünleşik </w:t>
      </w:r>
      <w:r w:rsidR="002950A1" w:rsidRPr="00877C51">
        <w:rPr>
          <w:rFonts w:eastAsia="Times New Roman"/>
          <w:lang w:eastAsia="tr-TR"/>
        </w:rPr>
        <w:t xml:space="preserve">elektrik depolama </w:t>
      </w:r>
      <w:r w:rsidR="000473CD" w:rsidRPr="00877C51">
        <w:rPr>
          <w:rFonts w:eastAsia="Times New Roman"/>
          <w:lang w:eastAsia="tr-TR"/>
        </w:rPr>
        <w:t>ünitesi</w:t>
      </w:r>
      <w:r w:rsidR="009239AA" w:rsidRPr="001D02AC">
        <w:rPr>
          <w:lang w:eastAsia="tr-TR"/>
        </w:rPr>
        <w:t>,</w:t>
      </w:r>
      <w:r w:rsidR="009239AA" w:rsidRPr="001D02AC">
        <w:rPr>
          <w:rFonts w:eastAsia="Calibri"/>
        </w:rPr>
        <w:t xml:space="preserve"> </w:t>
      </w:r>
      <w:r w:rsidR="009239AA">
        <w:rPr>
          <w:rStyle w:val="FootnoteReference"/>
          <w:rFonts w:eastAsia="Calibri"/>
        </w:rPr>
        <w:footnoteReference w:id="4"/>
      </w:r>
      <w:r w:rsidR="009239AA" w:rsidRPr="001D02AC">
        <w:rPr>
          <w:rFonts w:eastAsia="Calibri"/>
        </w:rPr>
        <w:t>depolamalı elektrik üretim tesisi bünyesindeki elektrik depolama ünitesi</w:t>
      </w:r>
      <w:r w:rsidR="002950A1" w:rsidRPr="00877C51">
        <w:rPr>
          <w:rFonts w:eastAsia="Times New Roman"/>
          <w:lang w:eastAsia="tr-TR"/>
        </w:rPr>
        <w:t xml:space="preserve"> ile </w:t>
      </w:r>
      <w:r w:rsidR="000B59E8" w:rsidRPr="00877C51">
        <w:rPr>
          <w:rFonts w:eastAsia="Times New Roman"/>
          <w:lang w:eastAsia="tr-TR"/>
        </w:rPr>
        <w:t xml:space="preserve">müstakil elektrik depolama tesislerinin sisteme bağlantısı ve sistem kullanımı hakkında </w:t>
      </w:r>
      <w:r w:rsidR="007E59A2" w:rsidRPr="00877C51">
        <w:rPr>
          <w:rFonts w:eastAsia="Times New Roman"/>
          <w:lang w:eastAsia="tr-TR"/>
        </w:rPr>
        <w:t>2</w:t>
      </w:r>
      <w:r w:rsidR="007925A1" w:rsidRPr="00877C51">
        <w:rPr>
          <w:rFonts w:eastAsia="Times New Roman"/>
          <w:lang w:eastAsia="tr-TR"/>
        </w:rPr>
        <w:t>/11/2013</w:t>
      </w:r>
      <w:r w:rsidR="007E59A2" w:rsidRPr="00877C51">
        <w:rPr>
          <w:rFonts w:eastAsia="Times New Roman"/>
          <w:lang w:eastAsia="tr-TR"/>
        </w:rPr>
        <w:t xml:space="preserve"> t</w:t>
      </w:r>
      <w:r w:rsidR="002950A1" w:rsidRPr="00877C51">
        <w:rPr>
          <w:rFonts w:eastAsia="Times New Roman"/>
          <w:lang w:eastAsia="tr-TR"/>
        </w:rPr>
        <w:t>arihli ve 28809 sayılı Resm</w:t>
      </w:r>
      <w:r w:rsidR="00666D8C" w:rsidRPr="00877C51">
        <w:t>î</w:t>
      </w:r>
      <w:r w:rsidR="002950A1" w:rsidRPr="00877C51">
        <w:rPr>
          <w:rFonts w:eastAsia="Times New Roman"/>
          <w:lang w:eastAsia="tr-TR"/>
        </w:rPr>
        <w:t xml:space="preserve"> Gazete’de yayımlanan Elektrik Piyasası Lisans Yönetmeliğinin </w:t>
      </w:r>
      <w:r w:rsidR="000B59E8" w:rsidRPr="00877C51">
        <w:rPr>
          <w:rFonts w:eastAsia="Times New Roman"/>
          <w:lang w:eastAsia="tr-TR"/>
        </w:rPr>
        <w:t>15 inci madde</w:t>
      </w:r>
      <w:r w:rsidR="002950A1" w:rsidRPr="00877C51">
        <w:rPr>
          <w:rFonts w:eastAsia="Times New Roman"/>
          <w:lang w:eastAsia="tr-TR"/>
        </w:rPr>
        <w:t>si</w:t>
      </w:r>
      <w:r w:rsidR="000B59E8" w:rsidRPr="00877C51">
        <w:rPr>
          <w:rFonts w:eastAsia="Times New Roman"/>
          <w:lang w:eastAsia="tr-TR"/>
        </w:rPr>
        <w:t xml:space="preserve">nin ikinci fıkrası </w:t>
      </w:r>
      <w:r w:rsidR="0062528B" w:rsidRPr="00877C51">
        <w:rPr>
          <w:rFonts w:eastAsia="Times New Roman"/>
          <w:lang w:eastAsia="tr-TR"/>
        </w:rPr>
        <w:t>kapsamında işlem tesis edilir.</w:t>
      </w:r>
    </w:p>
    <w:p w14:paraId="47FBDEEE" w14:textId="3CA79227" w:rsidR="008D4A4F" w:rsidRDefault="009239AA" w:rsidP="004C0905">
      <w:pPr>
        <w:ind w:firstLine="567"/>
        <w:contextualSpacing/>
        <w:rPr>
          <w:lang w:eastAsia="tr-TR"/>
        </w:rPr>
      </w:pPr>
      <w:r w:rsidRPr="001D02AC">
        <w:rPr>
          <w:lang w:eastAsia="tr-TR"/>
        </w:rPr>
        <w:t>(3)</w:t>
      </w:r>
      <w:r>
        <w:rPr>
          <w:rStyle w:val="FootnoteReference"/>
          <w:lang w:eastAsia="tr-TR"/>
        </w:rPr>
        <w:footnoteReference w:id="5"/>
      </w:r>
      <w:r w:rsidRPr="001D02AC">
        <w:rPr>
          <w:lang w:eastAsia="tr-TR"/>
        </w:rPr>
        <w:t xml:space="preserve"> 12/5/2019 tarihli ve 30772 sayılı Resmî Gazete’de yayımlanan Elektrik Piyasasında Lisanssız Elektrik Üretim Yönetmeliği çerçevesinde çağrı mektubu alan ve ihtiyaç fazlası enerji için aylık mahsuplaşma yapılan lisanssız elektrik üretim tesislerinde elektrik depolama tesisi </w:t>
      </w:r>
      <w:r w:rsidRPr="001D02AC">
        <w:rPr>
          <w:lang w:eastAsia="tr-TR"/>
        </w:rPr>
        <w:lastRenderedPageBreak/>
        <w:t>kurulabilir. Ancak, bu kapsamda kurulacak elektrik depolama tesislerinin Elektrik Piyasasında Lisanssız Elektrik Üretim Yönetmeliğinin 37 nci maddesinin altıncı fıkrasında yer alan şartları sağlaması zorunludur.</w:t>
      </w:r>
    </w:p>
    <w:p w14:paraId="3216F448" w14:textId="64B95393" w:rsidR="00EF302F" w:rsidRDefault="00EF302F" w:rsidP="00EF302F">
      <w:pPr>
        <w:ind w:firstLine="567"/>
        <w:contextualSpacing/>
      </w:pPr>
      <w:r>
        <w:t>(4)</w:t>
      </w:r>
      <w:r>
        <w:rPr>
          <w:rStyle w:val="FootnoteReference"/>
        </w:rPr>
        <w:footnoteReference w:id="6"/>
      </w:r>
      <w:r>
        <w:t xml:space="preserve"> Depolamalı elektrik üretim tesisleri bünyesinde bulunan elektrik depolama ünitelerinin “emre amade olma” durumu,  söz konusu depolama ünitelerinin EK-1’de yer alan şekle uygun olarak çalışabilir halde olma durumunu ifade eder.</w:t>
      </w:r>
    </w:p>
    <w:p w14:paraId="039EC17B" w14:textId="73178DA8" w:rsidR="00EF302F" w:rsidRPr="00877C51" w:rsidRDefault="00EF302F" w:rsidP="00EF302F">
      <w:pPr>
        <w:ind w:firstLine="567"/>
        <w:contextualSpacing/>
      </w:pPr>
      <w:r>
        <w:t xml:space="preserve"> (5)</w:t>
      </w:r>
      <w:r>
        <w:rPr>
          <w:rStyle w:val="FootnoteReference"/>
        </w:rPr>
        <w:footnoteReference w:id="7"/>
      </w:r>
      <w:r>
        <w:t xml:space="preserve"> Bu Yönetmelik kapsamındaki depolama ünitesi veya tesislerinin kabulünde yüzde on tolerans uygulanır.”</w:t>
      </w:r>
    </w:p>
    <w:p w14:paraId="24A41B77" w14:textId="77777777" w:rsidR="008D4A4F" w:rsidRPr="00877C51" w:rsidRDefault="008D4A4F" w:rsidP="007527B2">
      <w:pPr>
        <w:ind w:firstLine="567"/>
        <w:contextualSpacing/>
      </w:pPr>
      <w:r w:rsidRPr="00877C51">
        <w:rPr>
          <w:rFonts w:eastAsia="Times New Roman"/>
          <w:b/>
          <w:lang w:eastAsia="tr-TR"/>
        </w:rPr>
        <w:t xml:space="preserve">Üretim tesisine bütünleşik elektrik depolama </w:t>
      </w:r>
      <w:r w:rsidR="00873411" w:rsidRPr="00877C51">
        <w:rPr>
          <w:rFonts w:eastAsia="Times New Roman"/>
          <w:b/>
          <w:lang w:eastAsia="tr-TR"/>
        </w:rPr>
        <w:t>ünites</w:t>
      </w:r>
      <w:r w:rsidR="008973C1" w:rsidRPr="00877C51">
        <w:rPr>
          <w:rFonts w:eastAsia="Times New Roman"/>
          <w:b/>
          <w:lang w:eastAsia="tr-TR"/>
        </w:rPr>
        <w:t>i</w:t>
      </w:r>
    </w:p>
    <w:p w14:paraId="46BE7740" w14:textId="5D3EED8F" w:rsidR="008D4A4F" w:rsidRPr="00877C51" w:rsidRDefault="008D4A4F" w:rsidP="007527B2">
      <w:pPr>
        <w:ind w:firstLine="567"/>
        <w:contextualSpacing/>
        <w:rPr>
          <w:rFonts w:eastAsia="Times New Roman"/>
          <w:lang w:eastAsia="tr-TR"/>
        </w:rPr>
      </w:pPr>
      <w:r w:rsidRPr="00877C51">
        <w:rPr>
          <w:rFonts w:eastAsia="Times New Roman"/>
          <w:b/>
          <w:bCs/>
          <w:lang w:eastAsia="tr-TR"/>
        </w:rPr>
        <w:t>MADDE 5 –</w:t>
      </w:r>
      <w:r w:rsidRPr="00877C51">
        <w:rPr>
          <w:rFonts w:eastAsia="Times New Roman"/>
          <w:lang w:eastAsia="tr-TR"/>
        </w:rPr>
        <w:t xml:space="preserve"> (1)</w:t>
      </w:r>
      <w:r w:rsidR="00F33AFF">
        <w:rPr>
          <w:rStyle w:val="FootnoteReference"/>
          <w:rFonts w:eastAsia="Times New Roman"/>
          <w:lang w:eastAsia="tr-TR"/>
        </w:rPr>
        <w:footnoteReference w:id="8"/>
      </w:r>
      <w:r w:rsidRPr="00877C51">
        <w:rPr>
          <w:rFonts w:eastAsia="Times New Roman"/>
          <w:lang w:eastAsia="tr-TR"/>
        </w:rPr>
        <w:t xml:space="preserve"> </w:t>
      </w:r>
      <w:r w:rsidR="00F33AFF" w:rsidRPr="001D02AC">
        <w:rPr>
          <w:rFonts w:eastAsia="Times New Roman"/>
          <w:lang w:eastAsia="tr-TR"/>
        </w:rPr>
        <w:t>Üretim lisansı sahibi tüzel kişiler, lisanslı bir üretim tesisine bütünleşik elektrik depolama ünitesi kurabilir.</w:t>
      </w:r>
    </w:p>
    <w:p w14:paraId="13F1B5FC" w14:textId="3F139B5B" w:rsidR="00B57D77" w:rsidRPr="00877C51" w:rsidRDefault="008D4A4F" w:rsidP="007527B2">
      <w:pPr>
        <w:ind w:firstLine="567"/>
        <w:contextualSpacing/>
        <w:rPr>
          <w:rFonts w:eastAsia="Times New Roman"/>
          <w:lang w:eastAsia="tr-TR"/>
        </w:rPr>
      </w:pPr>
      <w:r w:rsidRPr="00877C51">
        <w:rPr>
          <w:rFonts w:eastAsia="Times New Roman"/>
          <w:lang w:eastAsia="tr-TR"/>
        </w:rPr>
        <w:t>(2)</w:t>
      </w:r>
      <w:r w:rsidR="00F33AFF">
        <w:rPr>
          <w:rStyle w:val="FootnoteReference"/>
          <w:rFonts w:eastAsia="Times New Roman"/>
          <w:lang w:eastAsia="tr-TR"/>
        </w:rPr>
        <w:footnoteReference w:id="9"/>
      </w:r>
      <w:r w:rsidRPr="00877C51">
        <w:rPr>
          <w:rFonts w:eastAsia="Times New Roman"/>
          <w:lang w:eastAsia="tr-TR"/>
        </w:rPr>
        <w:t xml:space="preserve"> </w:t>
      </w:r>
    </w:p>
    <w:p w14:paraId="3ADF2EF5" w14:textId="075B80B5" w:rsidR="008D4A4F" w:rsidRPr="00877C51" w:rsidRDefault="00490B8E" w:rsidP="00336EFD">
      <w:pPr>
        <w:ind w:firstLine="567"/>
        <w:contextualSpacing/>
        <w:rPr>
          <w:rFonts w:eastAsia="Times New Roman"/>
          <w:lang w:eastAsia="tr-TR"/>
        </w:rPr>
      </w:pPr>
      <w:r w:rsidRPr="00877C51" w:rsidDel="00490B8E">
        <w:rPr>
          <w:rFonts w:eastAsia="Times New Roman"/>
          <w:lang w:eastAsia="tr-TR"/>
        </w:rPr>
        <w:t xml:space="preserve"> </w:t>
      </w:r>
      <w:r w:rsidR="008D4A4F" w:rsidRPr="00877C51">
        <w:rPr>
          <w:rFonts w:eastAsia="Times New Roman"/>
          <w:lang w:eastAsia="tr-TR"/>
        </w:rPr>
        <w:t>(3)</w:t>
      </w:r>
      <w:r w:rsidR="00F33AFF">
        <w:rPr>
          <w:rStyle w:val="FootnoteReference"/>
          <w:rFonts w:eastAsia="Times New Roman"/>
          <w:lang w:eastAsia="tr-TR"/>
        </w:rPr>
        <w:footnoteReference w:id="10"/>
      </w:r>
      <w:r w:rsidR="008D4A4F" w:rsidRPr="00877C51">
        <w:rPr>
          <w:rFonts w:eastAsia="Times New Roman"/>
          <w:lang w:eastAsia="tr-TR"/>
        </w:rPr>
        <w:t xml:space="preserve"> </w:t>
      </w:r>
      <w:r w:rsidR="00F33AFF" w:rsidRPr="001D02AC">
        <w:rPr>
          <w:rFonts w:eastAsia="Times New Roman"/>
          <w:lang w:eastAsia="tr-TR"/>
        </w:rPr>
        <w:t>Depolamalı elektrik üretim tesisi bünyesinde kurulan elektrik depolama ünitesi ile üretim tesisine bütünleşik elektrik depolama ünitesine şebekeden çekilip tekrar şebekeye verilen enerji, ilgili üretim tesisinin ürettiği enerji için verilen herhangi bir teşvik veya alım garantisi kapsamına girmez.</w:t>
      </w:r>
    </w:p>
    <w:p w14:paraId="26A5EAD1" w14:textId="1E236DDE" w:rsidR="008D4A4F" w:rsidRPr="00877C51" w:rsidRDefault="008E49B7" w:rsidP="007527B2">
      <w:pPr>
        <w:ind w:firstLine="567"/>
        <w:contextualSpacing/>
        <w:rPr>
          <w:rFonts w:eastAsia="Times New Roman"/>
          <w:lang w:eastAsia="tr-TR"/>
        </w:rPr>
      </w:pPr>
      <w:r w:rsidRPr="00877C51">
        <w:rPr>
          <w:rFonts w:eastAsia="Times New Roman"/>
          <w:lang w:eastAsia="tr-TR"/>
        </w:rPr>
        <w:t>(4)</w:t>
      </w:r>
      <w:r w:rsidR="00F33AFF">
        <w:rPr>
          <w:rStyle w:val="FootnoteReference"/>
          <w:rFonts w:eastAsia="Times New Roman"/>
          <w:lang w:eastAsia="tr-TR"/>
        </w:rPr>
        <w:footnoteReference w:id="11"/>
      </w:r>
      <w:r w:rsidRPr="00877C51">
        <w:rPr>
          <w:rFonts w:eastAsia="Times New Roman"/>
          <w:lang w:eastAsia="tr-TR"/>
        </w:rPr>
        <w:t xml:space="preserve"> </w:t>
      </w:r>
      <w:r w:rsidR="00F33AFF" w:rsidRPr="001D02AC">
        <w:rPr>
          <w:rFonts w:eastAsia="Times New Roman"/>
          <w:lang w:eastAsia="tr-TR"/>
        </w:rPr>
        <w:t>Depolamalı elektrik üretim tesisi bünyesinde kurulan elektrik depolama ünitesi ile üretim tesisine bütünleşik elektrik depolama ünitesindeki kayıp enerji, ilgili üretim tesisinin ürettiği enerji için verilen herhangi bir teşvik veya alım garantisi kapsamına girmez.</w:t>
      </w:r>
      <w:r w:rsidR="00F33AFF" w:rsidRPr="001D02AC">
        <w:t xml:space="preserve"> </w:t>
      </w:r>
      <w:r w:rsidR="00F33AFF" w:rsidRPr="001D02AC">
        <w:rPr>
          <w:rFonts w:eastAsia="Times New Roman"/>
          <w:lang w:eastAsia="tr-TR"/>
        </w:rPr>
        <w:t>Bu kapsamdaki kayıp enerji için herhangi bir bedel ödenmez.</w:t>
      </w:r>
      <w:r w:rsidR="00F33AFF" w:rsidRPr="00877C51" w:rsidDel="00F33AFF">
        <w:rPr>
          <w:rFonts w:eastAsia="Times New Roman"/>
          <w:lang w:eastAsia="tr-TR"/>
        </w:rPr>
        <w:t xml:space="preserve"> </w:t>
      </w:r>
      <w:r w:rsidR="008D4A4F" w:rsidRPr="00877C51">
        <w:rPr>
          <w:rFonts w:eastAsia="Times New Roman"/>
          <w:lang w:eastAsia="tr-TR"/>
        </w:rPr>
        <w:t>(</w:t>
      </w:r>
      <w:r w:rsidR="00624329" w:rsidRPr="00877C51">
        <w:rPr>
          <w:rFonts w:eastAsia="Times New Roman"/>
          <w:lang w:eastAsia="tr-TR"/>
        </w:rPr>
        <w:t>5</w:t>
      </w:r>
      <w:r w:rsidR="008D4A4F" w:rsidRPr="00877C51">
        <w:rPr>
          <w:rFonts w:eastAsia="Times New Roman"/>
          <w:lang w:eastAsia="tr-TR"/>
        </w:rPr>
        <w:t>)</w:t>
      </w:r>
      <w:r w:rsidR="00F33AFF">
        <w:rPr>
          <w:rStyle w:val="FootnoteReference"/>
          <w:rFonts w:eastAsia="Times New Roman"/>
          <w:lang w:eastAsia="tr-TR"/>
        </w:rPr>
        <w:footnoteReference w:id="12"/>
      </w:r>
      <w:r w:rsidR="008D4A4F" w:rsidRPr="00877C51">
        <w:rPr>
          <w:rFonts w:eastAsia="Times New Roman"/>
          <w:lang w:eastAsia="tr-TR"/>
        </w:rPr>
        <w:t xml:space="preserve"> </w:t>
      </w:r>
      <w:r w:rsidR="00F33AFF" w:rsidRPr="001D02AC">
        <w:rPr>
          <w:rFonts w:eastAsia="Times New Roman"/>
          <w:lang w:eastAsia="tr-TR"/>
        </w:rPr>
        <w:t>Depolamalı elektrik üretim tesisi bünyesinde kurulan elektrik depolama ünitesi ile üretim tesisine bütünleşik elektrik depolama ünitesi, ayrı bir uzlaştırmaya esas veriş çekiş birimi olarak kaydedilir.</w:t>
      </w:r>
    </w:p>
    <w:p w14:paraId="462E1B2F" w14:textId="33620661" w:rsidR="008D4A4F" w:rsidRPr="00877C51" w:rsidRDefault="008D4A4F" w:rsidP="007527B2">
      <w:pPr>
        <w:ind w:firstLine="567"/>
        <w:contextualSpacing/>
        <w:rPr>
          <w:rFonts w:eastAsia="Times New Roman"/>
          <w:lang w:eastAsia="tr-TR"/>
        </w:rPr>
      </w:pPr>
      <w:r w:rsidRPr="00877C51">
        <w:rPr>
          <w:rFonts w:eastAsia="Times New Roman"/>
          <w:lang w:eastAsia="tr-TR"/>
        </w:rPr>
        <w:t>(</w:t>
      </w:r>
      <w:r w:rsidR="00624329" w:rsidRPr="00877C51">
        <w:rPr>
          <w:rFonts w:eastAsia="Times New Roman"/>
          <w:lang w:eastAsia="tr-TR"/>
        </w:rPr>
        <w:t>6</w:t>
      </w:r>
      <w:r w:rsidRPr="00877C51">
        <w:rPr>
          <w:rFonts w:eastAsia="Times New Roman"/>
          <w:lang w:eastAsia="tr-TR"/>
        </w:rPr>
        <w:t>)</w:t>
      </w:r>
      <w:r w:rsidR="00F33AFF">
        <w:rPr>
          <w:rStyle w:val="FootnoteReference"/>
          <w:rFonts w:eastAsia="Times New Roman"/>
          <w:lang w:eastAsia="tr-TR"/>
        </w:rPr>
        <w:footnoteReference w:id="13"/>
      </w:r>
      <w:r w:rsidRPr="00877C51">
        <w:rPr>
          <w:rFonts w:eastAsia="Times New Roman"/>
          <w:lang w:eastAsia="tr-TR"/>
        </w:rPr>
        <w:t xml:space="preserve"> </w:t>
      </w:r>
    </w:p>
    <w:p w14:paraId="71D5A9F2" w14:textId="785BE416" w:rsidR="008D4A4F" w:rsidRPr="00877C51" w:rsidRDefault="008D4A4F" w:rsidP="007527B2">
      <w:pPr>
        <w:ind w:firstLine="567"/>
        <w:contextualSpacing/>
        <w:rPr>
          <w:rFonts w:eastAsia="Times New Roman"/>
          <w:lang w:eastAsia="tr-TR"/>
        </w:rPr>
      </w:pPr>
      <w:r w:rsidRPr="00877C51">
        <w:rPr>
          <w:rFonts w:eastAsia="Times New Roman"/>
          <w:lang w:eastAsia="tr-TR"/>
        </w:rPr>
        <w:t>(</w:t>
      </w:r>
      <w:r w:rsidR="00624329" w:rsidRPr="00877C51">
        <w:rPr>
          <w:rFonts w:eastAsia="Times New Roman"/>
          <w:lang w:eastAsia="tr-TR"/>
        </w:rPr>
        <w:t>7</w:t>
      </w:r>
      <w:r w:rsidRPr="00877C51">
        <w:rPr>
          <w:rFonts w:eastAsia="Times New Roman"/>
          <w:lang w:eastAsia="tr-TR"/>
        </w:rPr>
        <w:t>)</w:t>
      </w:r>
      <w:r w:rsidR="00F33AFF">
        <w:rPr>
          <w:rStyle w:val="FootnoteReference"/>
          <w:rFonts w:eastAsia="Times New Roman"/>
          <w:lang w:eastAsia="tr-TR"/>
        </w:rPr>
        <w:footnoteReference w:id="14"/>
      </w:r>
      <w:r w:rsidR="00EF302F">
        <w:rPr>
          <w:rStyle w:val="FootnoteReference"/>
          <w:rFonts w:eastAsia="Times New Roman"/>
          <w:lang w:eastAsia="tr-TR"/>
        </w:rPr>
        <w:footnoteReference w:id="15"/>
      </w:r>
      <w:r w:rsidRPr="00877C51">
        <w:rPr>
          <w:rFonts w:eastAsia="Times New Roman"/>
          <w:lang w:eastAsia="tr-TR"/>
        </w:rPr>
        <w:t xml:space="preserve"> </w:t>
      </w:r>
      <w:r w:rsidR="00EF302F" w:rsidRPr="00EF302F">
        <w:rPr>
          <w:rFonts w:eastAsia="Times New Roman"/>
          <w:szCs w:val="20"/>
          <w:lang w:eastAsia="tr-TR"/>
        </w:rPr>
        <w:t>Depolamalı elektrik üretim tesisleri ile bütünleşik elektrik depolama ünitesinin yer aldığı üretim tesislerinin uzlaştırma dönemi bazında sisteme vereceği enerji miktarı, ana kaynağa dayalı geçici kabulü yapılmış olan ünitelerin toplam elektriksel kurulu gücü ile yapabileceği üretim miktarını geçemez</w:t>
      </w:r>
      <w:r w:rsidR="00EF302F">
        <w:rPr>
          <w:rFonts w:eastAsia="Times New Roman"/>
          <w:szCs w:val="20"/>
          <w:lang w:eastAsia="tr-TR"/>
        </w:rPr>
        <w:t>.</w:t>
      </w:r>
    </w:p>
    <w:p w14:paraId="1DCBC90E" w14:textId="138A6E45" w:rsidR="00F33AFF" w:rsidRPr="001D02AC" w:rsidRDefault="00F33AFF" w:rsidP="00F33AFF">
      <w:pPr>
        <w:widowControl w:val="0"/>
        <w:overflowPunct w:val="0"/>
        <w:autoSpaceDE w:val="0"/>
        <w:autoSpaceDN w:val="0"/>
        <w:adjustRightInd w:val="0"/>
        <w:spacing w:line="240" w:lineRule="auto"/>
        <w:ind w:firstLine="567"/>
        <w:contextualSpacing/>
        <w:rPr>
          <w:rFonts w:eastAsia="Times New Roman"/>
          <w:lang w:eastAsia="tr-TR"/>
        </w:rPr>
      </w:pPr>
      <w:r w:rsidRPr="001D02AC">
        <w:rPr>
          <w:rFonts w:eastAsia="Times New Roman"/>
          <w:lang w:eastAsia="tr-TR"/>
        </w:rPr>
        <w:t>(8)</w:t>
      </w:r>
      <w:r>
        <w:rPr>
          <w:rStyle w:val="FootnoteReference"/>
          <w:rFonts w:eastAsia="Times New Roman"/>
          <w:lang w:eastAsia="tr-TR"/>
        </w:rPr>
        <w:footnoteReference w:id="16"/>
      </w:r>
      <w:r w:rsidRPr="001D02AC">
        <w:rPr>
          <w:rFonts w:eastAsia="Times New Roman"/>
          <w:lang w:eastAsia="tr-TR"/>
        </w:rPr>
        <w:t xml:space="preserve"> Depolamalı elektrik üretim tesisi bünyesindeki elektrik depolama ünitesi ile üretim tesisine bütünleşik elektrik depolama ünitesinin bağlantısı E</w:t>
      </w:r>
      <w:r>
        <w:rPr>
          <w:rFonts w:eastAsia="Times New Roman"/>
          <w:lang w:eastAsia="tr-TR"/>
        </w:rPr>
        <w:t>K</w:t>
      </w:r>
      <w:r w:rsidRPr="001D02AC">
        <w:rPr>
          <w:rFonts w:eastAsia="Times New Roman"/>
          <w:lang w:eastAsia="tr-TR"/>
        </w:rPr>
        <w:t>-1’de verilen bağlantı şekline göre yapılır.</w:t>
      </w:r>
    </w:p>
    <w:p w14:paraId="2DECECE9" w14:textId="7DFA9905" w:rsidR="00F33AFF" w:rsidRPr="001D02AC" w:rsidRDefault="00F33AFF" w:rsidP="00F33AFF">
      <w:pPr>
        <w:widowControl w:val="0"/>
        <w:overflowPunct w:val="0"/>
        <w:autoSpaceDE w:val="0"/>
        <w:autoSpaceDN w:val="0"/>
        <w:adjustRightInd w:val="0"/>
        <w:spacing w:line="240" w:lineRule="auto"/>
        <w:ind w:firstLine="567"/>
        <w:contextualSpacing/>
        <w:rPr>
          <w:rFonts w:eastAsia="Times New Roman"/>
          <w:lang w:eastAsia="tr-TR"/>
        </w:rPr>
      </w:pPr>
      <w:r w:rsidRPr="001D02AC">
        <w:rPr>
          <w:rFonts w:eastAsia="Times New Roman"/>
          <w:lang w:eastAsia="tr-TR"/>
        </w:rPr>
        <w:t>(9)</w:t>
      </w:r>
      <w:r>
        <w:rPr>
          <w:rStyle w:val="FootnoteReference"/>
          <w:rFonts w:eastAsia="Times New Roman"/>
          <w:lang w:eastAsia="tr-TR"/>
        </w:rPr>
        <w:footnoteReference w:id="17"/>
      </w:r>
      <w:r w:rsidRPr="001D02AC">
        <w:rPr>
          <w:rFonts w:eastAsia="Times New Roman"/>
          <w:lang w:eastAsia="tr-TR"/>
        </w:rPr>
        <w:t xml:space="preserve"> Depolamalı elektrik üretim tesislerinde üretilen elektrik enerjisinin, iletim veya dağıtım sistemine elektrik depolama ünitesi üzerinden verilmesi zorunludur. Depolamalı elektrik üretim tesislerinin sekizinci fıkrada tanımlanan bağlantı şekline göre tesis edilmesi halinde sisteme verilen enerji, elektrik depolama ünitesi üzerinden sisteme verilmiş olarak kabul edilir. Bağlantı konfigürasyonlarına, ölçüm ve işletmede olma durumunun izlenmesine </w:t>
      </w:r>
      <w:r w:rsidRPr="001D02AC">
        <w:rPr>
          <w:rFonts w:eastAsia="Times New Roman"/>
          <w:lang w:eastAsia="tr-TR"/>
        </w:rPr>
        <w:lastRenderedPageBreak/>
        <w:t>ilişkin bu fıkra hükmünün uygulanmasını sağlayacak şekilde ilgili şebeke işletmecisi tarafından gerekli tüm tedbirlerin alınması zorunludur.</w:t>
      </w:r>
    </w:p>
    <w:p w14:paraId="754983C7" w14:textId="1686A18C" w:rsidR="00F33AFF" w:rsidRPr="001D02AC" w:rsidRDefault="00F33AFF" w:rsidP="00F33AFF">
      <w:pPr>
        <w:widowControl w:val="0"/>
        <w:overflowPunct w:val="0"/>
        <w:autoSpaceDE w:val="0"/>
        <w:autoSpaceDN w:val="0"/>
        <w:adjustRightInd w:val="0"/>
        <w:spacing w:line="240" w:lineRule="auto"/>
        <w:ind w:firstLine="567"/>
        <w:contextualSpacing/>
        <w:rPr>
          <w:rFonts w:eastAsia="Times New Roman"/>
          <w:lang w:eastAsia="tr-TR"/>
        </w:rPr>
      </w:pPr>
      <w:r w:rsidRPr="001D02AC">
        <w:rPr>
          <w:rFonts w:eastAsia="Times New Roman"/>
          <w:lang w:eastAsia="tr-TR"/>
        </w:rPr>
        <w:t>(10)</w:t>
      </w:r>
      <w:r>
        <w:rPr>
          <w:rStyle w:val="FootnoteReference"/>
          <w:rFonts w:eastAsia="Times New Roman"/>
          <w:lang w:eastAsia="tr-TR"/>
        </w:rPr>
        <w:footnoteReference w:id="18"/>
      </w:r>
      <w:r w:rsidRPr="001D02AC">
        <w:rPr>
          <w:rFonts w:eastAsia="Times New Roman"/>
          <w:lang w:eastAsia="tr-TR"/>
        </w:rPr>
        <w:t xml:space="preserve"> Bu madde kapsamında kurulan elektrik depolama ünitelerinden; ilgili mevzuat uyarınca gerekli şartları sağlayanlar yan hizmetlere, dengeleme birimi niteliğini haiz olanlar dengeleme güç piyasasına katılabilir.</w:t>
      </w:r>
    </w:p>
    <w:p w14:paraId="2CE59AE2" w14:textId="3DE9956E" w:rsidR="008D4A4F" w:rsidRPr="00877C51" w:rsidRDefault="00F33AFF" w:rsidP="004C0905">
      <w:pPr>
        <w:ind w:firstLine="567"/>
        <w:contextualSpacing/>
        <w:rPr>
          <w:sz w:val="16"/>
          <w:szCs w:val="16"/>
        </w:rPr>
      </w:pPr>
      <w:r w:rsidRPr="001D02AC">
        <w:rPr>
          <w:lang w:eastAsia="tr-TR"/>
        </w:rPr>
        <w:t>(11)</w:t>
      </w:r>
      <w:r>
        <w:rPr>
          <w:rStyle w:val="FootnoteReference"/>
          <w:lang w:eastAsia="tr-TR"/>
        </w:rPr>
        <w:footnoteReference w:id="19"/>
      </w:r>
      <w:r w:rsidRPr="001D02AC">
        <w:rPr>
          <w:lang w:eastAsia="tr-TR"/>
        </w:rPr>
        <w:t xml:space="preserve"> Depolamalı elektrik üretim tesisi bünyesinde kurulan elektrik depolama ünitesi için özel düzenlemeler saklı kalmak koşuluyla, bu madde kapsamındaki hükümler uygulanır.</w:t>
      </w:r>
    </w:p>
    <w:p w14:paraId="7F738E37" w14:textId="77777777" w:rsidR="000F6E18" w:rsidRPr="00877C51" w:rsidRDefault="008D4A4F" w:rsidP="007527B2">
      <w:pPr>
        <w:ind w:firstLine="567"/>
        <w:contextualSpacing/>
        <w:rPr>
          <w:rFonts w:eastAsia="Times New Roman"/>
          <w:b/>
          <w:lang w:eastAsia="tr-TR"/>
        </w:rPr>
      </w:pPr>
      <w:r w:rsidRPr="00877C51">
        <w:rPr>
          <w:rFonts w:eastAsia="Times New Roman"/>
          <w:b/>
          <w:lang w:eastAsia="tr-TR"/>
        </w:rPr>
        <w:t xml:space="preserve">Tüketim </w:t>
      </w:r>
      <w:r w:rsidR="00B44F85" w:rsidRPr="00877C51">
        <w:rPr>
          <w:rFonts w:eastAsia="Times New Roman"/>
          <w:b/>
          <w:lang w:eastAsia="tr-TR"/>
        </w:rPr>
        <w:t xml:space="preserve">tesisine </w:t>
      </w:r>
      <w:r w:rsidRPr="00877C51">
        <w:rPr>
          <w:rFonts w:eastAsia="Times New Roman"/>
          <w:b/>
          <w:lang w:eastAsia="tr-TR"/>
        </w:rPr>
        <w:t>bütünleşik elektrik depolama tesisleri</w:t>
      </w:r>
      <w:r w:rsidR="00C81C6A" w:rsidRPr="00877C51">
        <w:rPr>
          <w:rFonts w:eastAsia="Times New Roman"/>
          <w:b/>
          <w:lang w:eastAsia="tr-TR"/>
        </w:rPr>
        <w:t xml:space="preserve"> </w:t>
      </w:r>
    </w:p>
    <w:p w14:paraId="0F23C414" w14:textId="77777777" w:rsidR="008D4A4F" w:rsidRPr="00877C51" w:rsidRDefault="008D4A4F" w:rsidP="007527B2">
      <w:pPr>
        <w:ind w:firstLine="567"/>
        <w:contextualSpacing/>
        <w:rPr>
          <w:rFonts w:eastAsia="Times New Roman"/>
          <w:b/>
          <w:lang w:eastAsia="tr-TR"/>
        </w:rPr>
      </w:pPr>
      <w:r w:rsidRPr="00877C51">
        <w:rPr>
          <w:rFonts w:eastAsia="Times New Roman"/>
          <w:b/>
          <w:lang w:eastAsia="tr-TR"/>
        </w:rPr>
        <w:t xml:space="preserve">MADDE 6 – </w:t>
      </w:r>
      <w:r w:rsidRPr="00877C51">
        <w:rPr>
          <w:rFonts w:eastAsia="Times New Roman"/>
          <w:lang w:eastAsia="tr-TR"/>
        </w:rPr>
        <w:t>(1)</w:t>
      </w:r>
      <w:r w:rsidRPr="00877C51">
        <w:t xml:space="preserve"> Tüketiciler tarafından</w:t>
      </w:r>
      <w:r w:rsidR="00514108" w:rsidRPr="00877C51">
        <w:t xml:space="preserve">; </w:t>
      </w:r>
      <w:r w:rsidR="005E04E7" w:rsidRPr="00877C51">
        <w:t>ilgili şebeke işletmecisi tarafından</w:t>
      </w:r>
      <w:r w:rsidR="00D23D7C" w:rsidRPr="00877C51">
        <w:t xml:space="preserve"> uygun bağlantı görüşü </w:t>
      </w:r>
      <w:r w:rsidR="005E04E7" w:rsidRPr="00877C51">
        <w:t>verilmesi,</w:t>
      </w:r>
      <w:r w:rsidR="00D23D7C" w:rsidRPr="00877C51">
        <w:t xml:space="preserve"> </w:t>
      </w:r>
      <w:r w:rsidR="00683260" w:rsidRPr="00877C51">
        <w:t>kurulu gücü</w:t>
      </w:r>
      <w:r w:rsidR="005E04E7" w:rsidRPr="00877C51">
        <w:t>nün</w:t>
      </w:r>
      <w:r w:rsidR="00683260" w:rsidRPr="00877C51">
        <w:t xml:space="preserve"> </w:t>
      </w:r>
      <w:r w:rsidRPr="00877C51">
        <w:t>ilgili tüketim tesisinin bağlantı anlaşmasındaki sözleşme gücünü aşma</w:t>
      </w:r>
      <w:r w:rsidR="005E04E7" w:rsidRPr="00877C51">
        <w:t>ması</w:t>
      </w:r>
      <w:r w:rsidRPr="00877C51">
        <w:t xml:space="preserve"> </w:t>
      </w:r>
      <w:r w:rsidR="00955DBF" w:rsidRPr="00877C51">
        <w:t xml:space="preserve">ve </w:t>
      </w:r>
      <w:r w:rsidR="00B44F85" w:rsidRPr="00877C51">
        <w:t xml:space="preserve">aynı ölçüm noktasında </w:t>
      </w:r>
      <w:r w:rsidR="005E04E7" w:rsidRPr="00877C51">
        <w:t xml:space="preserve">olması kaydıyla </w:t>
      </w:r>
      <w:r w:rsidRPr="00877C51">
        <w:t>elektrik depolama tesisi kurulabilir.</w:t>
      </w:r>
    </w:p>
    <w:p w14:paraId="6A25DC8D" w14:textId="5C444050" w:rsidR="000F6E18" w:rsidRPr="00877C51" w:rsidRDefault="008D4A4F" w:rsidP="007527B2">
      <w:pPr>
        <w:ind w:firstLine="567"/>
        <w:contextualSpacing/>
        <w:rPr>
          <w:rFonts w:eastAsia="Times New Roman"/>
          <w:lang w:eastAsia="tr-TR"/>
        </w:rPr>
      </w:pPr>
      <w:r w:rsidRPr="00877C51">
        <w:t>(2)</w:t>
      </w:r>
      <w:r w:rsidR="00F33AFF">
        <w:rPr>
          <w:rStyle w:val="FootnoteReference"/>
        </w:rPr>
        <w:footnoteReference w:id="20"/>
      </w:r>
      <w:r w:rsidRPr="00877C51">
        <w:t xml:space="preserve"> </w:t>
      </w:r>
    </w:p>
    <w:p w14:paraId="498AEA49" w14:textId="77777777" w:rsidR="008D4A4F" w:rsidRPr="00877C51" w:rsidRDefault="008D4A4F" w:rsidP="007527B2">
      <w:pPr>
        <w:ind w:firstLine="567"/>
        <w:contextualSpacing/>
        <w:rPr>
          <w:rFonts w:eastAsia="Times New Roman"/>
          <w:lang w:eastAsia="tr-TR"/>
        </w:rPr>
      </w:pPr>
      <w:r w:rsidRPr="00877C51">
        <w:rPr>
          <w:rFonts w:eastAsia="Times New Roman"/>
          <w:lang w:eastAsia="tr-TR"/>
        </w:rPr>
        <w:t xml:space="preserve">(3) </w:t>
      </w:r>
      <w:r w:rsidRPr="00877C51">
        <w:t>Tüketim</w:t>
      </w:r>
      <w:r w:rsidR="000F6E18" w:rsidRPr="00877C51">
        <w:t xml:space="preserve"> </w:t>
      </w:r>
      <w:r w:rsidR="00DD5993" w:rsidRPr="00877C51">
        <w:t>tesisine</w:t>
      </w:r>
      <w:r w:rsidRPr="00877C51">
        <w:t xml:space="preserve"> bütünleşik elektrik depolama tesisi</w:t>
      </w:r>
      <w:r w:rsidRPr="00877C51">
        <w:rPr>
          <w:rFonts w:eastAsia="Times New Roman"/>
          <w:lang w:eastAsia="tr-TR"/>
        </w:rPr>
        <w:t xml:space="preserve"> sadece ilgili tüketim tesisinin ihtiyacı için </w:t>
      </w:r>
      <w:r w:rsidR="00462015" w:rsidRPr="00877C51">
        <w:rPr>
          <w:rFonts w:eastAsia="Times New Roman"/>
          <w:lang w:eastAsia="tr-TR"/>
        </w:rPr>
        <w:t>kurulabilir</w:t>
      </w:r>
      <w:r w:rsidRPr="00877C51">
        <w:rPr>
          <w:rFonts w:eastAsia="Times New Roman"/>
          <w:lang w:eastAsia="tr-TR"/>
        </w:rPr>
        <w:t xml:space="preserve">. </w:t>
      </w:r>
      <w:r w:rsidR="00462015" w:rsidRPr="00877C51">
        <w:rPr>
          <w:rFonts w:eastAsia="Times New Roman"/>
          <w:lang w:eastAsia="tr-TR"/>
        </w:rPr>
        <w:t>T</w:t>
      </w:r>
      <w:r w:rsidR="00DD5993" w:rsidRPr="00877C51">
        <w:rPr>
          <w:rFonts w:eastAsia="Times New Roman"/>
          <w:lang w:eastAsia="tr-TR"/>
        </w:rPr>
        <w:t>üketim tesisine</w:t>
      </w:r>
      <w:r w:rsidR="00462015" w:rsidRPr="00877C51">
        <w:rPr>
          <w:rFonts w:eastAsia="Times New Roman"/>
          <w:lang w:eastAsia="tr-TR"/>
        </w:rPr>
        <w:t xml:space="preserve"> </w:t>
      </w:r>
      <w:r w:rsidRPr="00877C51">
        <w:rPr>
          <w:rFonts w:eastAsia="Times New Roman"/>
          <w:lang w:eastAsia="tr-TR"/>
        </w:rPr>
        <w:t>bütünleşik elektrik depolama tesislerin</w:t>
      </w:r>
      <w:r w:rsidR="00462015" w:rsidRPr="00877C51">
        <w:rPr>
          <w:rFonts w:eastAsia="Times New Roman"/>
          <w:lang w:eastAsia="tr-TR"/>
        </w:rPr>
        <w:t>den</w:t>
      </w:r>
      <w:r w:rsidRPr="00877C51">
        <w:rPr>
          <w:rFonts w:eastAsia="Times New Roman"/>
          <w:lang w:eastAsia="tr-TR"/>
        </w:rPr>
        <w:t xml:space="preserve"> şebekeye enerji </w:t>
      </w:r>
      <w:r w:rsidR="00462015" w:rsidRPr="00877C51">
        <w:rPr>
          <w:rFonts w:eastAsia="Times New Roman"/>
          <w:lang w:eastAsia="tr-TR"/>
        </w:rPr>
        <w:t xml:space="preserve">verilmesi </w:t>
      </w:r>
      <w:r w:rsidRPr="00877C51">
        <w:rPr>
          <w:rFonts w:eastAsia="Times New Roman"/>
          <w:lang w:eastAsia="tr-TR"/>
        </w:rPr>
        <w:t>durumunda bu enerji</w:t>
      </w:r>
      <w:r w:rsidR="00EC0BA4" w:rsidRPr="00877C51">
        <w:rPr>
          <w:rFonts w:eastAsia="Times New Roman"/>
          <w:lang w:eastAsia="tr-TR"/>
        </w:rPr>
        <w:t>,</w:t>
      </w:r>
      <w:r w:rsidRPr="00877C51">
        <w:rPr>
          <w:rFonts w:eastAsia="Times New Roman"/>
          <w:lang w:eastAsia="tr-TR"/>
        </w:rPr>
        <w:t xml:space="preserve"> ilgili tedarikçinin uzlaştırmaya esas veriş miktarlarında dikkate alınmaz.</w:t>
      </w:r>
    </w:p>
    <w:p w14:paraId="714ABCEC" w14:textId="77777777" w:rsidR="008D4A4F" w:rsidRPr="00877C51" w:rsidRDefault="008D4A4F" w:rsidP="007527B2">
      <w:pPr>
        <w:ind w:firstLine="567"/>
        <w:contextualSpacing/>
        <w:rPr>
          <w:rFonts w:eastAsia="Times New Roman"/>
          <w:lang w:eastAsia="tr-TR"/>
        </w:rPr>
      </w:pPr>
      <w:r w:rsidRPr="00877C51">
        <w:rPr>
          <w:rFonts w:eastAsia="Times New Roman"/>
          <w:lang w:eastAsia="tr-TR"/>
        </w:rPr>
        <w:t xml:space="preserve">(4) Organize sanayi bölgesi tüzel </w:t>
      </w:r>
      <w:r w:rsidR="00205096" w:rsidRPr="00877C51">
        <w:rPr>
          <w:rFonts w:eastAsia="Times New Roman"/>
          <w:lang w:eastAsia="tr-TR"/>
        </w:rPr>
        <w:t xml:space="preserve">kişiliği tarafından </w:t>
      </w:r>
      <w:r w:rsidRPr="00877C51">
        <w:rPr>
          <w:rFonts w:eastAsia="Times New Roman"/>
          <w:lang w:eastAsia="tr-TR"/>
        </w:rPr>
        <w:t xml:space="preserve">OSB </w:t>
      </w:r>
      <w:r w:rsidR="00214110" w:rsidRPr="00877C51">
        <w:rPr>
          <w:rFonts w:eastAsia="Times New Roman"/>
          <w:lang w:eastAsia="tr-TR"/>
        </w:rPr>
        <w:t xml:space="preserve">sınırları </w:t>
      </w:r>
      <w:r w:rsidRPr="00877C51">
        <w:rPr>
          <w:rFonts w:eastAsia="Times New Roman"/>
          <w:lang w:eastAsia="tr-TR"/>
        </w:rPr>
        <w:t xml:space="preserve">içerisinde kurulan </w:t>
      </w:r>
      <w:r w:rsidR="00DD5993" w:rsidRPr="00877C51">
        <w:rPr>
          <w:rFonts w:eastAsia="Times New Roman"/>
          <w:lang w:eastAsia="tr-TR"/>
        </w:rPr>
        <w:t xml:space="preserve">elektrik </w:t>
      </w:r>
      <w:r w:rsidRPr="00877C51">
        <w:rPr>
          <w:rFonts w:eastAsia="Times New Roman"/>
          <w:lang w:eastAsia="tr-TR"/>
        </w:rPr>
        <w:t>depolama tesisleri</w:t>
      </w:r>
      <w:r w:rsidR="00205096" w:rsidRPr="00877C51">
        <w:rPr>
          <w:rFonts w:eastAsia="Times New Roman"/>
          <w:lang w:eastAsia="tr-TR"/>
        </w:rPr>
        <w:t>,</w:t>
      </w:r>
      <w:r w:rsidRPr="00877C51">
        <w:rPr>
          <w:rFonts w:eastAsia="Times New Roman"/>
          <w:lang w:eastAsia="tr-TR"/>
        </w:rPr>
        <w:t xml:space="preserve"> bu madde kapsamında tüketim</w:t>
      </w:r>
      <w:r w:rsidR="00014EF9" w:rsidRPr="00877C51">
        <w:rPr>
          <w:rFonts w:eastAsia="Times New Roman"/>
          <w:lang w:eastAsia="tr-TR"/>
        </w:rPr>
        <w:t xml:space="preserve"> tesisine</w:t>
      </w:r>
      <w:r w:rsidRPr="00877C51">
        <w:rPr>
          <w:rFonts w:eastAsia="Times New Roman"/>
          <w:lang w:eastAsia="tr-TR"/>
        </w:rPr>
        <w:t xml:space="preserve"> bütünleşik elektrik depolama tesisi olarak değerlendirilir.</w:t>
      </w:r>
    </w:p>
    <w:p w14:paraId="5B3E91BC" w14:textId="77777777" w:rsidR="008D4A4F" w:rsidRPr="00877C51" w:rsidRDefault="008D4A4F" w:rsidP="007527B2">
      <w:pPr>
        <w:ind w:firstLine="567"/>
        <w:contextualSpacing/>
        <w:rPr>
          <w:rFonts w:eastAsia="Times New Roman"/>
          <w:sz w:val="16"/>
          <w:szCs w:val="16"/>
          <w:lang w:eastAsia="tr-TR"/>
        </w:rPr>
      </w:pPr>
    </w:p>
    <w:p w14:paraId="0A69B7A3" w14:textId="77777777" w:rsidR="008D4A4F" w:rsidRPr="00877C51" w:rsidRDefault="008D4A4F" w:rsidP="007527B2">
      <w:pPr>
        <w:ind w:firstLine="567"/>
        <w:contextualSpacing/>
        <w:rPr>
          <w:rFonts w:eastAsia="Times New Roman"/>
          <w:b/>
          <w:lang w:eastAsia="tr-TR"/>
        </w:rPr>
      </w:pPr>
      <w:r w:rsidRPr="00877C51">
        <w:rPr>
          <w:rFonts w:eastAsia="Times New Roman"/>
          <w:b/>
          <w:lang w:eastAsia="tr-TR"/>
        </w:rPr>
        <w:t>Müstakil elektrik depolama tesisleri</w:t>
      </w:r>
    </w:p>
    <w:p w14:paraId="746B94CB" w14:textId="2850BE77" w:rsidR="00EF302F" w:rsidRDefault="008D4A4F" w:rsidP="007527B2">
      <w:pPr>
        <w:ind w:firstLine="567"/>
        <w:contextualSpacing/>
        <w:rPr>
          <w:rFonts w:eastAsia="Times New Roman"/>
          <w:lang w:eastAsia="tr-TR"/>
        </w:rPr>
      </w:pPr>
      <w:r w:rsidRPr="00877C51">
        <w:rPr>
          <w:rFonts w:eastAsia="Times New Roman"/>
          <w:b/>
          <w:lang w:eastAsia="tr-TR"/>
        </w:rPr>
        <w:t xml:space="preserve">MADDE 7 – </w:t>
      </w:r>
      <w:r w:rsidRPr="00877C51">
        <w:rPr>
          <w:rFonts w:eastAsia="Times New Roman"/>
          <w:lang w:eastAsia="tr-TR"/>
        </w:rPr>
        <w:t>(1)</w:t>
      </w:r>
      <w:r w:rsidR="00EF302F">
        <w:rPr>
          <w:rStyle w:val="FootnoteReference"/>
          <w:rFonts w:eastAsia="Times New Roman"/>
          <w:lang w:eastAsia="tr-TR"/>
        </w:rPr>
        <w:footnoteReference w:id="21"/>
      </w:r>
      <w:r w:rsidR="00EF302F">
        <w:rPr>
          <w:rFonts w:eastAsia="Times New Roman"/>
          <w:lang w:eastAsia="tr-TR"/>
        </w:rPr>
        <w:t xml:space="preserve"> </w:t>
      </w:r>
      <w:r w:rsidR="00EF302F" w:rsidRPr="00EF302F">
        <w:rPr>
          <w:rFonts w:eastAsia="Times New Roman"/>
          <w:lang w:eastAsia="tr-TR"/>
        </w:rPr>
        <w:t>Tedarik veya toplayıcı lisansına sahip olmak ve 2 MW kurulu gücünden düşük olmamak kaydıyla, aynı tedarik veya toplayıcı lisansı kapsamında bir veya birden fazla müstakil elektrik depolama tesisi kurulabilir. Bu tesislerin sisteme verdiği ve sistemden çektiği enerji, ilgili piyasa katılımcısının uzlaştırmaya esas veriş çekiş miktarında dikkate alınır.</w:t>
      </w:r>
    </w:p>
    <w:p w14:paraId="3AB0DBCB" w14:textId="625F1312" w:rsidR="008D4A4F" w:rsidRPr="00877C51" w:rsidRDefault="00D44F9C" w:rsidP="007527B2">
      <w:pPr>
        <w:ind w:firstLine="567"/>
        <w:contextualSpacing/>
        <w:rPr>
          <w:rFonts w:eastAsia="Times New Roman"/>
          <w:lang w:eastAsia="tr-TR"/>
        </w:rPr>
      </w:pPr>
      <w:r w:rsidRPr="00877C51">
        <w:rPr>
          <w:rFonts w:eastAsia="Times New Roman"/>
          <w:lang w:eastAsia="tr-TR"/>
        </w:rPr>
        <w:t>(2</w:t>
      </w:r>
      <w:r w:rsidR="008D4A4F" w:rsidRPr="00877C51">
        <w:rPr>
          <w:rFonts w:eastAsia="Times New Roman"/>
          <w:lang w:eastAsia="tr-TR"/>
        </w:rPr>
        <w:t>) Bu madde kapsamında kurulan elektrik depolama tesislerinden Elektrik Piyasası Yan Hizmetler Yönetmeliği uyarınca gerekli şartları sağlayan tesisler yan hizmetlere, dengeleme birimi niteliğini haiz olanlar dengeleme güç piyasasına katılabilir.</w:t>
      </w:r>
    </w:p>
    <w:p w14:paraId="2DECDF73" w14:textId="77777777" w:rsidR="008D4A4F" w:rsidRPr="00877C51" w:rsidRDefault="008D4A4F" w:rsidP="007527B2">
      <w:pPr>
        <w:ind w:firstLine="567"/>
        <w:contextualSpacing/>
        <w:rPr>
          <w:rFonts w:eastAsia="Times New Roman"/>
          <w:sz w:val="16"/>
          <w:szCs w:val="16"/>
          <w:lang w:eastAsia="tr-TR"/>
        </w:rPr>
      </w:pPr>
    </w:p>
    <w:p w14:paraId="1BF9A48E" w14:textId="77777777" w:rsidR="005674D2" w:rsidRDefault="00A367C8" w:rsidP="00454F35">
      <w:pPr>
        <w:ind w:firstLine="567"/>
        <w:contextualSpacing/>
        <w:rPr>
          <w:rFonts w:eastAsia="Times New Roman"/>
          <w:b/>
          <w:lang w:eastAsia="tr-TR"/>
        </w:rPr>
      </w:pPr>
      <w:r>
        <w:rPr>
          <w:rStyle w:val="FootnoteReference"/>
          <w:rFonts w:eastAsia="Times New Roman"/>
          <w:b/>
          <w:lang w:eastAsia="tr-TR"/>
        </w:rPr>
        <w:footnoteReference w:id="22"/>
      </w:r>
      <w:r w:rsidRPr="00A367C8">
        <w:rPr>
          <w:rFonts w:eastAsia="Times New Roman"/>
          <w:b/>
          <w:lang w:eastAsia="tr-TR"/>
        </w:rPr>
        <w:t>Şebeke işletmecileri tarafından kurulan elektrik depolama tesisleri</w:t>
      </w:r>
      <w:r w:rsidRPr="00A367C8" w:rsidDel="00A367C8">
        <w:rPr>
          <w:rFonts w:eastAsia="Times New Roman"/>
          <w:b/>
          <w:lang w:eastAsia="tr-TR"/>
        </w:rPr>
        <w:t xml:space="preserve"> </w:t>
      </w:r>
    </w:p>
    <w:p w14:paraId="3D862ECB" w14:textId="5D302B4A" w:rsidR="00E25A02" w:rsidRPr="00877C51" w:rsidRDefault="008D4A4F" w:rsidP="00454F35">
      <w:pPr>
        <w:ind w:firstLine="567"/>
        <w:contextualSpacing/>
        <w:rPr>
          <w:rFonts w:eastAsia="Times New Roman"/>
          <w:lang w:eastAsia="tr-TR"/>
        </w:rPr>
      </w:pPr>
      <w:r w:rsidRPr="00877C51">
        <w:rPr>
          <w:rFonts w:eastAsia="Times New Roman"/>
          <w:b/>
          <w:lang w:eastAsia="tr-TR"/>
        </w:rPr>
        <w:t xml:space="preserve">MADDE 8 – </w:t>
      </w:r>
      <w:r w:rsidRPr="00877C51">
        <w:rPr>
          <w:rFonts w:eastAsia="Times New Roman"/>
          <w:lang w:eastAsia="tr-TR"/>
        </w:rPr>
        <w:t xml:space="preserve">(1) </w:t>
      </w:r>
      <w:r w:rsidR="00454F35" w:rsidRPr="00877C51">
        <w:rPr>
          <w:rFonts w:eastAsia="Times New Roman"/>
          <w:lang w:eastAsia="tr-TR"/>
        </w:rPr>
        <w:t>D</w:t>
      </w:r>
      <w:r w:rsidRPr="00877C51">
        <w:rPr>
          <w:rFonts w:eastAsia="Times New Roman"/>
          <w:lang w:eastAsia="tr-TR"/>
        </w:rPr>
        <w:t xml:space="preserve">ağıtım şirketleri </w:t>
      </w:r>
      <w:r w:rsidR="00C921D5" w:rsidRPr="00877C51">
        <w:rPr>
          <w:rFonts w:eastAsia="Times New Roman"/>
          <w:lang w:eastAsia="tr-TR"/>
        </w:rPr>
        <w:t xml:space="preserve">fayda-maliyet analizleriyle </w:t>
      </w:r>
      <w:r w:rsidRPr="00877C51">
        <w:rPr>
          <w:rFonts w:eastAsia="Times New Roman"/>
          <w:lang w:eastAsia="tr-TR"/>
        </w:rPr>
        <w:t xml:space="preserve">yeni şebeke yatırımından daha ekonomik olduğunu ispat etmek kaydıyla; elektrik depolama tesisini, tesis bazında Kurul onayı ile yatırım </w:t>
      </w:r>
      <w:r w:rsidR="00454F35" w:rsidRPr="00877C51">
        <w:rPr>
          <w:rFonts w:eastAsia="Times New Roman"/>
          <w:lang w:eastAsia="tr-TR"/>
        </w:rPr>
        <w:t>planları</w:t>
      </w:r>
      <w:r w:rsidRPr="00877C51">
        <w:rPr>
          <w:rFonts w:eastAsia="Times New Roman"/>
          <w:lang w:eastAsia="tr-TR"/>
        </w:rPr>
        <w:t xml:space="preserve"> kapsamında kurabilir.</w:t>
      </w:r>
      <w:r w:rsidR="00454F35" w:rsidRPr="00877C51">
        <w:rPr>
          <w:rFonts w:eastAsia="Times New Roman"/>
          <w:lang w:eastAsia="tr-TR"/>
        </w:rPr>
        <w:t xml:space="preserve"> </w:t>
      </w:r>
    </w:p>
    <w:p w14:paraId="5FBE0014" w14:textId="77777777" w:rsidR="0040490B" w:rsidRPr="00877C51" w:rsidRDefault="00E25A02" w:rsidP="00E25A02">
      <w:pPr>
        <w:ind w:firstLine="567"/>
        <w:contextualSpacing/>
        <w:rPr>
          <w:rFonts w:eastAsia="Times New Roman"/>
          <w:lang w:eastAsia="tr-TR"/>
        </w:rPr>
      </w:pPr>
      <w:r w:rsidRPr="00877C51" w:rsidDel="00E25A02">
        <w:rPr>
          <w:rFonts w:eastAsia="Times New Roman"/>
          <w:lang w:eastAsia="tr-TR"/>
        </w:rPr>
        <w:t xml:space="preserve"> </w:t>
      </w:r>
      <w:r w:rsidR="008D4A4F" w:rsidRPr="00877C51">
        <w:rPr>
          <w:rFonts w:eastAsia="Times New Roman"/>
          <w:lang w:eastAsia="tr-TR"/>
        </w:rPr>
        <w:t xml:space="preserve">(2) Dağıtım şirketleri tarafından tesis edilen elektrik depolama tesisleri, </w:t>
      </w:r>
      <w:r w:rsidR="00A50D4B" w:rsidRPr="00877C51">
        <w:rPr>
          <w:rFonts w:eastAsia="Times New Roman"/>
          <w:lang w:eastAsia="tr-TR"/>
        </w:rPr>
        <w:t>dağıtım faaliyeti dışında kullanılamaz.</w:t>
      </w:r>
    </w:p>
    <w:p w14:paraId="1715F368" w14:textId="77777777" w:rsidR="008D4A4F" w:rsidRPr="00877C51" w:rsidRDefault="00E25A02" w:rsidP="0006349D">
      <w:pPr>
        <w:ind w:firstLine="567"/>
        <w:contextualSpacing/>
        <w:rPr>
          <w:rFonts w:eastAsia="Times New Roman"/>
          <w:lang w:eastAsia="tr-TR"/>
        </w:rPr>
      </w:pPr>
      <w:r w:rsidRPr="00877C51">
        <w:rPr>
          <w:rFonts w:eastAsia="Times New Roman"/>
          <w:lang w:eastAsia="tr-TR"/>
        </w:rPr>
        <w:t xml:space="preserve">(3) TEİAŞ, yatırım planlarında yer almak kaydı ile pilot uygulamalar kapsamında </w:t>
      </w:r>
      <w:r w:rsidR="00694980" w:rsidRPr="00877C51">
        <w:rPr>
          <w:rFonts w:eastAsia="Times New Roman"/>
          <w:lang w:eastAsia="tr-TR"/>
        </w:rPr>
        <w:t xml:space="preserve">ve </w:t>
      </w:r>
      <w:r w:rsidRPr="00877C51">
        <w:rPr>
          <w:rFonts w:eastAsia="Times New Roman"/>
          <w:lang w:eastAsia="tr-TR"/>
        </w:rPr>
        <w:t>ticari faaliyete konu edilmeksizin depolama tesisleri kurabilir.</w:t>
      </w:r>
    </w:p>
    <w:p w14:paraId="4027A516" w14:textId="77777777" w:rsidR="00B97519" w:rsidRPr="00877C51" w:rsidRDefault="00B97519" w:rsidP="007527B2">
      <w:pPr>
        <w:ind w:firstLine="567"/>
        <w:contextualSpacing/>
        <w:jc w:val="center"/>
        <w:rPr>
          <w:rFonts w:eastAsia="Times New Roman"/>
          <w:b/>
        </w:rPr>
      </w:pPr>
    </w:p>
    <w:p w14:paraId="4BF521B2" w14:textId="77777777" w:rsidR="008D4A4F" w:rsidRPr="00877C51" w:rsidRDefault="008D4A4F" w:rsidP="007527B2">
      <w:pPr>
        <w:ind w:firstLine="567"/>
        <w:contextualSpacing/>
        <w:jc w:val="center"/>
        <w:rPr>
          <w:rFonts w:eastAsia="Times New Roman"/>
          <w:b/>
        </w:rPr>
      </w:pPr>
      <w:r w:rsidRPr="00877C51">
        <w:rPr>
          <w:rFonts w:eastAsia="Times New Roman"/>
          <w:b/>
        </w:rPr>
        <w:lastRenderedPageBreak/>
        <w:t>ÜÇÜNCÜ BÖLÜM</w:t>
      </w:r>
    </w:p>
    <w:p w14:paraId="161A884D" w14:textId="249DBA84" w:rsidR="008D4A4F" w:rsidRPr="00877C51" w:rsidRDefault="00B97519" w:rsidP="007527B2">
      <w:pPr>
        <w:ind w:firstLine="567"/>
        <w:contextualSpacing/>
        <w:jc w:val="center"/>
        <w:rPr>
          <w:rFonts w:eastAsia="Times New Roman"/>
          <w:b/>
        </w:rPr>
      </w:pPr>
      <w:r w:rsidRPr="00877C51">
        <w:rPr>
          <w:rFonts w:eastAsia="Times New Roman"/>
          <w:b/>
        </w:rPr>
        <w:t xml:space="preserve">Çeşitli ve Son </w:t>
      </w:r>
      <w:r w:rsidR="008D4A4F" w:rsidRPr="00877C51">
        <w:rPr>
          <w:rFonts w:eastAsia="Times New Roman"/>
          <w:b/>
        </w:rPr>
        <w:t>Hükümler</w:t>
      </w:r>
    </w:p>
    <w:p w14:paraId="12EBB543" w14:textId="77777777" w:rsidR="008D4A4F" w:rsidRPr="00877C51" w:rsidRDefault="008D4A4F" w:rsidP="007527B2">
      <w:pPr>
        <w:ind w:firstLine="567"/>
        <w:contextualSpacing/>
        <w:rPr>
          <w:rFonts w:eastAsia="Times New Roman"/>
          <w:b/>
          <w:lang w:eastAsia="tr-TR"/>
        </w:rPr>
      </w:pPr>
    </w:p>
    <w:p w14:paraId="77958329" w14:textId="77777777" w:rsidR="008D4A4F" w:rsidRPr="00877C51" w:rsidRDefault="008D4A4F" w:rsidP="007527B2">
      <w:pPr>
        <w:ind w:firstLine="567"/>
        <w:contextualSpacing/>
        <w:rPr>
          <w:rFonts w:eastAsia="Times New Roman"/>
          <w:b/>
          <w:bCs/>
          <w:lang w:eastAsia="tr-TR"/>
        </w:rPr>
      </w:pPr>
      <w:r w:rsidRPr="00877C51">
        <w:rPr>
          <w:rFonts w:eastAsia="Times New Roman"/>
          <w:b/>
          <w:lang w:eastAsia="tr-TR"/>
        </w:rPr>
        <w:t xml:space="preserve">İlgili teknik mevzuat </w:t>
      </w:r>
      <w:r w:rsidR="008C58FB" w:rsidRPr="00877C51">
        <w:rPr>
          <w:rFonts w:eastAsia="Times New Roman"/>
          <w:b/>
          <w:lang w:eastAsia="tr-TR"/>
        </w:rPr>
        <w:t xml:space="preserve">ve ilgili standartlar </w:t>
      </w:r>
      <w:r w:rsidRPr="00877C51">
        <w:rPr>
          <w:rFonts w:eastAsia="Times New Roman"/>
          <w:b/>
          <w:lang w:eastAsia="tr-TR"/>
        </w:rPr>
        <w:t>kapsamındaki işlemler</w:t>
      </w:r>
    </w:p>
    <w:p w14:paraId="3DD5A219" w14:textId="77777777" w:rsidR="008D4A4F" w:rsidRPr="00877C51" w:rsidRDefault="008D4A4F" w:rsidP="007527B2">
      <w:pPr>
        <w:ind w:firstLine="567"/>
        <w:contextualSpacing/>
        <w:rPr>
          <w:rFonts w:eastAsia="Times New Roman"/>
          <w:lang w:eastAsia="tr-TR"/>
        </w:rPr>
      </w:pPr>
      <w:r w:rsidRPr="00877C51">
        <w:rPr>
          <w:rFonts w:eastAsia="Times New Roman"/>
          <w:b/>
          <w:bCs/>
          <w:lang w:eastAsia="tr-TR"/>
        </w:rPr>
        <w:t>MADDE 9 –</w:t>
      </w:r>
      <w:r w:rsidRPr="00877C51">
        <w:rPr>
          <w:rFonts w:eastAsia="Times New Roman"/>
          <w:lang w:eastAsia="tr-TR"/>
        </w:rPr>
        <w:t xml:space="preserve"> (1) Bu Yönetmelik kapsamındaki elektrik depolama </w:t>
      </w:r>
      <w:r w:rsidR="00653FDD" w:rsidRPr="00877C51">
        <w:rPr>
          <w:rFonts w:eastAsia="Times New Roman"/>
          <w:lang w:eastAsia="tr-TR"/>
        </w:rPr>
        <w:t xml:space="preserve">ünitesi ve </w:t>
      </w:r>
      <w:r w:rsidRPr="00877C51">
        <w:rPr>
          <w:rFonts w:eastAsia="Times New Roman"/>
          <w:lang w:eastAsia="tr-TR"/>
        </w:rPr>
        <w:t>tesislerinin projelendirilmesi, kurulumu, sisteme bağlantısı, kabulü, işlet</w:t>
      </w:r>
      <w:r w:rsidR="0098682A" w:rsidRPr="00877C51">
        <w:rPr>
          <w:rFonts w:eastAsia="Times New Roman"/>
          <w:lang w:eastAsia="tr-TR"/>
        </w:rPr>
        <w:t>il</w:t>
      </w:r>
      <w:r w:rsidRPr="00877C51">
        <w:rPr>
          <w:rFonts w:eastAsia="Times New Roman"/>
          <w:lang w:eastAsia="tr-TR"/>
        </w:rPr>
        <w:t>mesi ile gerekli görülmesi halinde test faaliyetleri ilgili teknik mevzuat</w:t>
      </w:r>
      <w:r w:rsidR="00694980" w:rsidRPr="00877C51">
        <w:rPr>
          <w:rFonts w:eastAsia="Times New Roman"/>
          <w:lang w:eastAsia="tr-TR"/>
        </w:rPr>
        <w:t>,</w:t>
      </w:r>
      <w:r w:rsidRPr="00877C51">
        <w:rPr>
          <w:rFonts w:eastAsia="Times New Roman"/>
          <w:lang w:eastAsia="tr-TR"/>
        </w:rPr>
        <w:t xml:space="preserve"> </w:t>
      </w:r>
      <w:r w:rsidR="00C20974" w:rsidRPr="00877C51">
        <w:rPr>
          <w:rFonts w:eastAsia="Times New Roman"/>
          <w:lang w:eastAsia="tr-TR"/>
        </w:rPr>
        <w:t>ilgili standartlar il</w:t>
      </w:r>
      <w:r w:rsidR="00694980" w:rsidRPr="00877C51">
        <w:rPr>
          <w:rFonts w:eastAsia="Times New Roman"/>
          <w:lang w:eastAsia="tr-TR"/>
        </w:rPr>
        <w:t>e teknik</w:t>
      </w:r>
      <w:r w:rsidR="00836CCB" w:rsidRPr="00877C51">
        <w:rPr>
          <w:rFonts w:eastAsia="Times New Roman"/>
          <w:lang w:eastAsia="tr-TR"/>
        </w:rPr>
        <w:t xml:space="preserve"> </w:t>
      </w:r>
      <w:r w:rsidR="00694980" w:rsidRPr="00877C51">
        <w:rPr>
          <w:rFonts w:eastAsia="Times New Roman"/>
          <w:lang w:eastAsia="tr-TR"/>
        </w:rPr>
        <w:t>kriterlerde</w:t>
      </w:r>
      <w:r w:rsidR="008C58FB" w:rsidRPr="00877C51">
        <w:rPr>
          <w:rFonts w:eastAsia="Times New Roman"/>
          <w:lang w:eastAsia="tr-TR"/>
        </w:rPr>
        <w:t xml:space="preserve"> </w:t>
      </w:r>
      <w:r w:rsidRPr="00877C51">
        <w:rPr>
          <w:rFonts w:eastAsia="Times New Roman"/>
          <w:lang w:eastAsia="tr-TR"/>
        </w:rPr>
        <w:t>tanımlandığı şekliyle yürütülür.</w:t>
      </w:r>
    </w:p>
    <w:p w14:paraId="08B92972" w14:textId="77777777" w:rsidR="008D4A4F" w:rsidRPr="00877C51" w:rsidRDefault="008D4A4F" w:rsidP="007527B2">
      <w:pPr>
        <w:ind w:firstLine="567"/>
        <w:contextualSpacing/>
        <w:rPr>
          <w:rFonts w:eastAsia="Times New Roman"/>
          <w:lang w:eastAsia="tr-TR"/>
        </w:rPr>
      </w:pPr>
      <w:r w:rsidRPr="00877C51">
        <w:rPr>
          <w:rFonts w:eastAsia="Times New Roman"/>
          <w:lang w:eastAsia="tr-TR"/>
        </w:rPr>
        <w:t>(</w:t>
      </w:r>
      <w:r w:rsidR="008C25AC" w:rsidRPr="00877C51">
        <w:rPr>
          <w:rFonts w:eastAsia="Times New Roman"/>
          <w:lang w:eastAsia="tr-TR"/>
        </w:rPr>
        <w:t>2</w:t>
      </w:r>
      <w:r w:rsidRPr="00877C51">
        <w:rPr>
          <w:rFonts w:eastAsia="Times New Roman"/>
          <w:lang w:eastAsia="tr-TR"/>
        </w:rPr>
        <w:t xml:space="preserve">) </w:t>
      </w:r>
      <w:r w:rsidR="008C25AC" w:rsidRPr="00877C51">
        <w:rPr>
          <w:rFonts w:eastAsia="Times New Roman"/>
          <w:lang w:eastAsia="tr-TR"/>
        </w:rPr>
        <w:t xml:space="preserve">Şebeke </w:t>
      </w:r>
      <w:r w:rsidRPr="00877C51">
        <w:rPr>
          <w:rFonts w:eastAsia="Times New Roman"/>
          <w:lang w:eastAsia="tr-TR"/>
        </w:rPr>
        <w:t>işletmecisi tarafından ilgili teknik mevzuatın ve ilgili standartların gerektirdiği koşulları sağlamayan elektrik depolama tesislerine ilişkin olarak</w:t>
      </w:r>
      <w:r w:rsidR="00583EAB" w:rsidRPr="00877C51">
        <w:rPr>
          <w:rFonts w:eastAsia="Times New Roman"/>
          <w:lang w:eastAsia="tr-TR"/>
        </w:rPr>
        <w:t>,</w:t>
      </w:r>
      <w:r w:rsidRPr="00877C51">
        <w:rPr>
          <w:rFonts w:eastAsia="Times New Roman"/>
          <w:lang w:eastAsia="tr-TR"/>
        </w:rPr>
        <w:t xml:space="preserve"> can ve/veya mal güvenliği bakımından tehlikeli veya elektrik sisteminin güvenliğini etkileyen riskli durumlarda herhangi bir bildirime gerek kalmaksızın elektrik depolama </w:t>
      </w:r>
      <w:r w:rsidR="00653FDD" w:rsidRPr="00877C51">
        <w:rPr>
          <w:rFonts w:eastAsia="Times New Roman"/>
          <w:lang w:eastAsia="tr-TR"/>
        </w:rPr>
        <w:t xml:space="preserve">ünitesi </w:t>
      </w:r>
      <w:r w:rsidR="00827E3F" w:rsidRPr="00877C51">
        <w:rPr>
          <w:rFonts w:eastAsia="Times New Roman"/>
          <w:lang w:eastAsia="tr-TR"/>
        </w:rPr>
        <w:t xml:space="preserve">veya </w:t>
      </w:r>
      <w:r w:rsidR="005A5E5C" w:rsidRPr="00877C51">
        <w:rPr>
          <w:rFonts w:eastAsia="Times New Roman"/>
          <w:lang w:eastAsia="tr-TR"/>
        </w:rPr>
        <w:t xml:space="preserve">elektrik depolama </w:t>
      </w:r>
      <w:r w:rsidRPr="00877C51">
        <w:rPr>
          <w:rFonts w:eastAsia="Times New Roman"/>
          <w:lang w:eastAsia="tr-TR"/>
        </w:rPr>
        <w:t>tesisinin durumu uygun hale getirilinceye kadar şebekeden ayrılması da dâhil, gerekli önlemler alınır.</w:t>
      </w:r>
    </w:p>
    <w:p w14:paraId="4277B9BB" w14:textId="77777777" w:rsidR="008D4A4F" w:rsidRPr="00877C51" w:rsidRDefault="008D4A4F" w:rsidP="0063088F">
      <w:pPr>
        <w:contextualSpacing/>
        <w:rPr>
          <w:rFonts w:eastAsia="Times New Roman"/>
          <w:b/>
          <w:lang w:eastAsia="tr-TR"/>
        </w:rPr>
      </w:pPr>
    </w:p>
    <w:p w14:paraId="061D0112" w14:textId="77777777" w:rsidR="008D4A4F" w:rsidRPr="00877C51" w:rsidRDefault="008D4A4F" w:rsidP="007527B2">
      <w:pPr>
        <w:ind w:firstLine="567"/>
        <w:contextualSpacing/>
        <w:rPr>
          <w:rFonts w:eastAsia="Times New Roman"/>
          <w:b/>
          <w:lang w:eastAsia="tr-TR"/>
        </w:rPr>
      </w:pPr>
      <w:r w:rsidRPr="00877C51">
        <w:rPr>
          <w:rFonts w:eastAsia="Times New Roman"/>
          <w:b/>
          <w:lang w:eastAsia="tr-TR"/>
        </w:rPr>
        <w:t>Kamulaştırma</w:t>
      </w:r>
    </w:p>
    <w:p w14:paraId="21BEC39E" w14:textId="050C3B8E" w:rsidR="008D4A4F" w:rsidRPr="00877C51" w:rsidRDefault="008D4A4F" w:rsidP="007527B2">
      <w:pPr>
        <w:ind w:firstLine="567"/>
        <w:contextualSpacing/>
        <w:rPr>
          <w:rFonts w:eastAsia="Times New Roman"/>
          <w:lang w:eastAsia="tr-TR"/>
        </w:rPr>
      </w:pPr>
      <w:r w:rsidRPr="00877C51">
        <w:rPr>
          <w:rFonts w:eastAsia="Times New Roman"/>
          <w:b/>
          <w:lang w:eastAsia="tr-TR"/>
        </w:rPr>
        <w:t xml:space="preserve">MADDE </w:t>
      </w:r>
      <w:r w:rsidR="005B602F" w:rsidRPr="00877C51">
        <w:rPr>
          <w:rFonts w:eastAsia="Times New Roman"/>
          <w:b/>
          <w:lang w:eastAsia="tr-TR"/>
        </w:rPr>
        <w:t>10</w:t>
      </w:r>
      <w:r w:rsidR="00A367C8">
        <w:rPr>
          <w:rStyle w:val="FootnoteReference"/>
          <w:rFonts w:eastAsia="Times New Roman"/>
          <w:b/>
          <w:lang w:eastAsia="tr-TR"/>
        </w:rPr>
        <w:footnoteReference w:id="23"/>
      </w:r>
      <w:r w:rsidR="005B602F" w:rsidRPr="00877C51">
        <w:rPr>
          <w:rFonts w:eastAsia="Times New Roman"/>
          <w:b/>
          <w:lang w:eastAsia="tr-TR"/>
        </w:rPr>
        <w:t xml:space="preserve"> </w:t>
      </w:r>
      <w:r w:rsidRPr="00877C51">
        <w:rPr>
          <w:rFonts w:eastAsia="Times New Roman"/>
          <w:b/>
          <w:lang w:eastAsia="tr-TR"/>
        </w:rPr>
        <w:t xml:space="preserve"> </w:t>
      </w:r>
    </w:p>
    <w:p w14:paraId="2E634117" w14:textId="77777777" w:rsidR="008D4A4F" w:rsidRPr="00877C51" w:rsidRDefault="008D4A4F" w:rsidP="007527B2">
      <w:pPr>
        <w:contextualSpacing/>
      </w:pPr>
    </w:p>
    <w:p w14:paraId="30C4EE24" w14:textId="77777777" w:rsidR="008D4A4F" w:rsidRPr="00877C51" w:rsidRDefault="008D4A4F" w:rsidP="007527B2">
      <w:pPr>
        <w:ind w:firstLine="567"/>
        <w:contextualSpacing/>
        <w:rPr>
          <w:rFonts w:eastAsia="Times New Roman"/>
          <w:lang w:eastAsia="tr-TR"/>
        </w:rPr>
      </w:pPr>
      <w:r w:rsidRPr="00877C51">
        <w:rPr>
          <w:rFonts w:eastAsia="Times New Roman"/>
          <w:b/>
          <w:lang w:eastAsia="tr-TR"/>
        </w:rPr>
        <w:t xml:space="preserve">Ar-Ge kapsamında </w:t>
      </w:r>
      <w:r w:rsidR="00E92726" w:rsidRPr="00877C51">
        <w:rPr>
          <w:rFonts w:eastAsia="Times New Roman"/>
          <w:b/>
          <w:lang w:eastAsia="tr-TR"/>
        </w:rPr>
        <w:t xml:space="preserve">kurulacak </w:t>
      </w:r>
      <w:r w:rsidRPr="00877C51">
        <w:rPr>
          <w:rFonts w:eastAsia="Times New Roman"/>
          <w:b/>
          <w:lang w:eastAsia="tr-TR"/>
        </w:rPr>
        <w:t>elektrik depolama tesisleri</w:t>
      </w:r>
    </w:p>
    <w:p w14:paraId="0DF0AC4E" w14:textId="0A69213B" w:rsidR="008D4A4F" w:rsidRPr="00877C51" w:rsidRDefault="008D4A4F" w:rsidP="007527B2">
      <w:pPr>
        <w:ind w:firstLine="567"/>
        <w:contextualSpacing/>
        <w:rPr>
          <w:rFonts w:eastAsia="Times New Roman"/>
          <w:lang w:eastAsia="tr-TR"/>
        </w:rPr>
      </w:pPr>
      <w:r w:rsidRPr="00877C51">
        <w:rPr>
          <w:rFonts w:eastAsia="Times New Roman"/>
          <w:b/>
          <w:bCs/>
          <w:lang w:eastAsia="tr-TR"/>
        </w:rPr>
        <w:t xml:space="preserve">MADDE </w:t>
      </w:r>
      <w:r w:rsidR="00893F43" w:rsidRPr="00877C51">
        <w:rPr>
          <w:rFonts w:eastAsia="Times New Roman"/>
          <w:b/>
          <w:bCs/>
          <w:lang w:eastAsia="tr-TR"/>
        </w:rPr>
        <w:t>11</w:t>
      </w:r>
      <w:r w:rsidRPr="00877C51">
        <w:rPr>
          <w:rFonts w:eastAsia="Times New Roman"/>
          <w:b/>
          <w:bCs/>
          <w:lang w:eastAsia="tr-TR"/>
        </w:rPr>
        <w:t xml:space="preserve">- </w:t>
      </w:r>
      <w:r w:rsidRPr="00877C51">
        <w:rPr>
          <w:rFonts w:eastAsia="Times New Roman"/>
          <w:lang w:eastAsia="tr-TR"/>
        </w:rPr>
        <w:t xml:space="preserve">(1) Üniversiteler, </w:t>
      </w:r>
      <w:r w:rsidR="00B97519" w:rsidRPr="00877C51">
        <w:rPr>
          <w:rFonts w:eastAsia="Times New Roman"/>
          <w:lang w:eastAsia="tr-TR"/>
        </w:rPr>
        <w:t xml:space="preserve">teknoloji geliştirme bölgeleri </w:t>
      </w:r>
      <w:r w:rsidR="00D9186C" w:rsidRPr="00877C51">
        <w:rPr>
          <w:rFonts w:eastAsia="Times New Roman"/>
          <w:lang w:eastAsia="tr-TR"/>
        </w:rPr>
        <w:t>ve</w:t>
      </w:r>
      <w:r w:rsidR="00423DD5" w:rsidRPr="00877C51">
        <w:rPr>
          <w:rFonts w:eastAsia="Times New Roman"/>
          <w:lang w:eastAsia="tr-TR"/>
        </w:rPr>
        <w:t xml:space="preserve"> </w:t>
      </w:r>
      <w:r w:rsidR="00B97519" w:rsidRPr="00877C51">
        <w:rPr>
          <w:rFonts w:eastAsia="Times New Roman"/>
          <w:lang w:eastAsia="tr-TR"/>
        </w:rPr>
        <w:t xml:space="preserve">endüstri bölgeleri </w:t>
      </w:r>
      <w:r w:rsidRPr="00877C51">
        <w:rPr>
          <w:rFonts w:eastAsia="Times New Roman"/>
          <w:lang w:eastAsia="tr-TR"/>
        </w:rPr>
        <w:t xml:space="preserve">tarafından Ar-Ge faaliyetlerinde kullanılmak amacıyla </w:t>
      </w:r>
      <w:r w:rsidR="00A87DF5" w:rsidRPr="00877C51">
        <w:rPr>
          <w:rFonts w:eastAsia="Times New Roman"/>
          <w:lang w:eastAsia="tr-TR"/>
        </w:rPr>
        <w:t xml:space="preserve">azami </w:t>
      </w:r>
      <w:r w:rsidRPr="00877C51">
        <w:rPr>
          <w:rFonts w:eastAsia="Times New Roman"/>
          <w:lang w:eastAsia="tr-TR"/>
        </w:rPr>
        <w:t xml:space="preserve">1 MW kurulu </w:t>
      </w:r>
      <w:r w:rsidR="00A87DF5" w:rsidRPr="00877C51">
        <w:rPr>
          <w:rFonts w:eastAsia="Times New Roman"/>
          <w:lang w:eastAsia="tr-TR"/>
        </w:rPr>
        <w:t xml:space="preserve">gücünde </w:t>
      </w:r>
      <w:r w:rsidRPr="00877C51">
        <w:rPr>
          <w:rFonts w:eastAsia="Times New Roman"/>
          <w:lang w:eastAsia="tr-TR"/>
        </w:rPr>
        <w:t>elektrik depolama tesisi kurulabilir. Bu tesislerin sisteme verdikleri enerji</w:t>
      </w:r>
      <w:r w:rsidR="00926813" w:rsidRPr="00877C51">
        <w:rPr>
          <w:rFonts w:eastAsia="Times New Roman"/>
          <w:lang w:eastAsia="tr-TR"/>
        </w:rPr>
        <w:t>,</w:t>
      </w:r>
      <w:r w:rsidRPr="00877C51">
        <w:rPr>
          <w:rFonts w:eastAsia="Times New Roman"/>
          <w:lang w:eastAsia="tr-TR"/>
        </w:rPr>
        <w:t xml:space="preserve"> ilgili piyasa katılımcılarının uzlaştırmaya esas veriş miktarlarında dikkate alınmaz. </w:t>
      </w:r>
    </w:p>
    <w:p w14:paraId="650EDBEA" w14:textId="77777777" w:rsidR="008C25AC" w:rsidRPr="00877C51" w:rsidRDefault="008C25AC" w:rsidP="00A87DF5">
      <w:pPr>
        <w:rPr>
          <w:b/>
          <w:bCs/>
        </w:rPr>
      </w:pPr>
    </w:p>
    <w:p w14:paraId="061786F7" w14:textId="77777777" w:rsidR="008C25AC" w:rsidRPr="00877C51" w:rsidRDefault="008C25AC" w:rsidP="00181BCE">
      <w:pPr>
        <w:ind w:firstLine="567"/>
        <w:rPr>
          <w:b/>
          <w:bCs/>
        </w:rPr>
      </w:pPr>
      <w:r w:rsidRPr="00877C51">
        <w:rPr>
          <w:b/>
          <w:bCs/>
        </w:rPr>
        <w:t>Başvuruların alınmaya başlanması</w:t>
      </w:r>
    </w:p>
    <w:p w14:paraId="4FA154DF" w14:textId="68A54344" w:rsidR="00A87DF5" w:rsidRPr="00877C51" w:rsidRDefault="00A87DF5" w:rsidP="00181BCE">
      <w:pPr>
        <w:ind w:firstLine="567"/>
        <w:rPr>
          <w:rFonts w:eastAsia="Times New Roman"/>
        </w:rPr>
      </w:pPr>
      <w:r w:rsidRPr="00877C51">
        <w:rPr>
          <w:b/>
          <w:bCs/>
        </w:rPr>
        <w:t>GEÇİCİ MADDE 1-</w:t>
      </w:r>
      <w:r w:rsidR="008C25AC" w:rsidRPr="00877C51">
        <w:rPr>
          <w:b/>
          <w:bCs/>
        </w:rPr>
        <w:t xml:space="preserve"> </w:t>
      </w:r>
      <w:r w:rsidR="008C25AC" w:rsidRPr="00877C51">
        <w:rPr>
          <w:bCs/>
        </w:rPr>
        <w:t>(1)</w:t>
      </w:r>
      <w:r w:rsidR="008C25AC" w:rsidRPr="00877C51">
        <w:rPr>
          <w:b/>
          <w:bCs/>
        </w:rPr>
        <w:t xml:space="preserve"> </w:t>
      </w:r>
      <w:r w:rsidR="000112F4" w:rsidRPr="00877C51">
        <w:t xml:space="preserve">Bu </w:t>
      </w:r>
      <w:r w:rsidR="00B97519" w:rsidRPr="00877C51">
        <w:t xml:space="preserve">Yönetmelik </w:t>
      </w:r>
      <w:r w:rsidR="000112F4" w:rsidRPr="00877C51">
        <w:t>kapsamındaki e</w:t>
      </w:r>
      <w:r w:rsidR="00423DD5" w:rsidRPr="00877C51">
        <w:t>lektrik</w:t>
      </w:r>
      <w:r w:rsidRPr="00877C51">
        <w:t xml:space="preserve"> depolama </w:t>
      </w:r>
      <w:r w:rsidR="00827E3F" w:rsidRPr="00877C51">
        <w:t xml:space="preserve">ünitesi veya </w:t>
      </w:r>
      <w:r w:rsidR="0062197A" w:rsidRPr="00877C51">
        <w:t xml:space="preserve">elektrik depolama </w:t>
      </w:r>
      <w:r w:rsidRPr="00877C51">
        <w:t xml:space="preserve">tesisleri için </w:t>
      </w:r>
      <w:r w:rsidR="000112F4" w:rsidRPr="00877C51">
        <w:t xml:space="preserve">yapılacak </w:t>
      </w:r>
      <w:r w:rsidRPr="00877C51">
        <w:t xml:space="preserve">başvurular, </w:t>
      </w:r>
      <w:r w:rsidR="00D8209D" w:rsidRPr="00877C51">
        <w:t xml:space="preserve">28/5/2014 </w:t>
      </w:r>
      <w:r w:rsidR="00B97519" w:rsidRPr="00877C51">
        <w:t xml:space="preserve">tarihli </w:t>
      </w:r>
      <w:r w:rsidR="00D8209D" w:rsidRPr="00877C51">
        <w:t xml:space="preserve">ve 29013 </w:t>
      </w:r>
      <w:r w:rsidR="007925A1" w:rsidRPr="00877C51">
        <w:t xml:space="preserve">mükerrer </w:t>
      </w:r>
      <w:r w:rsidR="00D8209D" w:rsidRPr="00877C51">
        <w:t>sayılı Resm</w:t>
      </w:r>
      <w:r w:rsidR="00B97519" w:rsidRPr="00877C51">
        <w:t>î</w:t>
      </w:r>
      <w:r w:rsidR="00D8209D" w:rsidRPr="00877C51">
        <w:t xml:space="preserve"> Gazete’de yayımlanan Elektrik Şebeke Yönetmeliği</w:t>
      </w:r>
      <w:r w:rsidR="00506941" w:rsidRPr="00877C51">
        <w:t xml:space="preserve">nin </w:t>
      </w:r>
      <w:r w:rsidR="00B97519" w:rsidRPr="00877C51">
        <w:t>g</w:t>
      </w:r>
      <w:r w:rsidR="00D8209D" w:rsidRPr="00877C51">
        <w:t>eçici</w:t>
      </w:r>
      <w:r w:rsidR="00506941" w:rsidRPr="00877C51">
        <w:t xml:space="preserve"> 1 nci maddesinde yer alan kriterlerin</w:t>
      </w:r>
      <w:r w:rsidR="00B97519" w:rsidRPr="00877C51">
        <w:rPr>
          <w:rFonts w:eastAsia="Times New Roman"/>
        </w:rPr>
        <w:t xml:space="preserve"> </w:t>
      </w:r>
      <w:r w:rsidRPr="00877C51">
        <w:rPr>
          <w:rFonts w:eastAsia="Times New Roman"/>
        </w:rPr>
        <w:t xml:space="preserve">TEİAŞ tarafından </w:t>
      </w:r>
      <w:r w:rsidR="000112F4" w:rsidRPr="00877C51">
        <w:rPr>
          <w:rFonts w:eastAsia="Times New Roman"/>
        </w:rPr>
        <w:t>ilan edildiği</w:t>
      </w:r>
      <w:r w:rsidRPr="00877C51">
        <w:rPr>
          <w:rFonts w:eastAsia="Times New Roman"/>
        </w:rPr>
        <w:t xml:space="preserve"> tarihten</w:t>
      </w:r>
      <w:r w:rsidR="000112F4" w:rsidRPr="00877C51">
        <w:rPr>
          <w:rFonts w:eastAsia="Times New Roman"/>
        </w:rPr>
        <w:t xml:space="preserve"> </w:t>
      </w:r>
      <w:r w:rsidRPr="00877C51">
        <w:rPr>
          <w:rFonts w:eastAsia="Times New Roman"/>
        </w:rPr>
        <w:t>bir ay sonra yapıl</w:t>
      </w:r>
      <w:r w:rsidR="000112F4" w:rsidRPr="00877C51">
        <w:rPr>
          <w:rFonts w:eastAsia="Times New Roman"/>
        </w:rPr>
        <w:t>abilir.</w:t>
      </w:r>
    </w:p>
    <w:p w14:paraId="7B41D01E" w14:textId="77777777" w:rsidR="00A87DF5" w:rsidRPr="00877C51" w:rsidRDefault="00A87DF5" w:rsidP="007527B2">
      <w:pPr>
        <w:ind w:firstLine="567"/>
        <w:contextualSpacing/>
        <w:rPr>
          <w:rFonts w:eastAsia="Times New Roman"/>
          <w:lang w:eastAsia="tr-TR"/>
        </w:rPr>
      </w:pPr>
    </w:p>
    <w:p w14:paraId="26D9F853" w14:textId="77777777" w:rsidR="008D4A4F" w:rsidRPr="00877C51" w:rsidRDefault="008D4A4F" w:rsidP="007527B2">
      <w:pPr>
        <w:ind w:firstLine="567"/>
        <w:contextualSpacing/>
        <w:rPr>
          <w:rFonts w:eastAsia="Times New Roman"/>
          <w:b/>
        </w:rPr>
      </w:pPr>
      <w:r w:rsidRPr="00877C51">
        <w:rPr>
          <w:rFonts w:eastAsia="Times New Roman"/>
          <w:b/>
        </w:rPr>
        <w:t>Yürürlük</w:t>
      </w:r>
    </w:p>
    <w:p w14:paraId="13185183" w14:textId="77777777" w:rsidR="008D4A4F" w:rsidRPr="00877C51" w:rsidRDefault="008D4A4F" w:rsidP="007527B2">
      <w:pPr>
        <w:ind w:firstLine="567"/>
        <w:contextualSpacing/>
        <w:rPr>
          <w:rFonts w:eastAsia="Times New Roman"/>
        </w:rPr>
      </w:pPr>
      <w:r w:rsidRPr="00877C51">
        <w:rPr>
          <w:rFonts w:eastAsia="Times New Roman"/>
          <w:b/>
        </w:rPr>
        <w:t xml:space="preserve">MADDE </w:t>
      </w:r>
      <w:r w:rsidR="00893F43" w:rsidRPr="00877C51">
        <w:rPr>
          <w:rFonts w:eastAsia="Times New Roman"/>
          <w:b/>
        </w:rPr>
        <w:t xml:space="preserve">12 </w:t>
      </w:r>
      <w:r w:rsidRPr="00877C51">
        <w:rPr>
          <w:rFonts w:eastAsia="Times New Roman"/>
          <w:b/>
        </w:rPr>
        <w:t xml:space="preserve">– </w:t>
      </w:r>
      <w:r w:rsidRPr="00877C51">
        <w:rPr>
          <w:rFonts w:eastAsia="Times New Roman"/>
        </w:rPr>
        <w:t>(1) Bu Yönetmelik yayımı tarihinde yürürlüğe girer.</w:t>
      </w:r>
    </w:p>
    <w:p w14:paraId="26FBBB66" w14:textId="77777777" w:rsidR="007527B2" w:rsidRPr="00877C51" w:rsidRDefault="007527B2" w:rsidP="007527B2">
      <w:pPr>
        <w:ind w:firstLine="567"/>
        <w:contextualSpacing/>
        <w:rPr>
          <w:rFonts w:eastAsia="Times New Roman"/>
        </w:rPr>
      </w:pPr>
    </w:p>
    <w:p w14:paraId="2251035C" w14:textId="77777777" w:rsidR="008D4A4F" w:rsidRPr="00877C51" w:rsidRDefault="008D4A4F" w:rsidP="007527B2">
      <w:pPr>
        <w:ind w:firstLine="567"/>
        <w:contextualSpacing/>
        <w:rPr>
          <w:rFonts w:eastAsia="Times New Roman"/>
          <w:b/>
        </w:rPr>
      </w:pPr>
      <w:r w:rsidRPr="00877C51">
        <w:rPr>
          <w:rFonts w:eastAsia="Times New Roman"/>
          <w:b/>
        </w:rPr>
        <w:t>Yürütme</w:t>
      </w:r>
    </w:p>
    <w:p w14:paraId="18FAA8F5" w14:textId="3615B280" w:rsidR="008D4A4F" w:rsidRDefault="008D4A4F" w:rsidP="007527B2">
      <w:pPr>
        <w:ind w:firstLine="567"/>
        <w:contextualSpacing/>
        <w:rPr>
          <w:rFonts w:eastAsia="Times New Roman"/>
        </w:rPr>
      </w:pPr>
      <w:r w:rsidRPr="00877C51">
        <w:rPr>
          <w:rFonts w:eastAsia="Times New Roman"/>
          <w:b/>
        </w:rPr>
        <w:t xml:space="preserve">MADDE </w:t>
      </w:r>
      <w:r w:rsidR="00893F43" w:rsidRPr="00877C51">
        <w:rPr>
          <w:rFonts w:eastAsia="Times New Roman"/>
          <w:b/>
        </w:rPr>
        <w:t xml:space="preserve">13 </w:t>
      </w:r>
      <w:r w:rsidRPr="00877C51">
        <w:rPr>
          <w:rFonts w:eastAsia="Times New Roman"/>
          <w:b/>
        </w:rPr>
        <w:t xml:space="preserve">– </w:t>
      </w:r>
      <w:r w:rsidRPr="00877C51">
        <w:rPr>
          <w:rFonts w:eastAsia="Times New Roman"/>
        </w:rPr>
        <w:t>(1) Bu Yönetmelik hükümlerini Enerji Piyasası Düzenleme Kurumu Başkanı yürütür.</w:t>
      </w:r>
    </w:p>
    <w:p w14:paraId="07155246" w14:textId="6A2D5287" w:rsidR="00A367C8" w:rsidRDefault="00A367C8" w:rsidP="007527B2">
      <w:pPr>
        <w:ind w:firstLine="567"/>
        <w:contextualSpacing/>
      </w:pPr>
    </w:p>
    <w:tbl>
      <w:tblPr>
        <w:tblW w:w="8505" w:type="dxa"/>
        <w:jc w:val="center"/>
        <w:tblCellMar>
          <w:left w:w="0" w:type="dxa"/>
          <w:right w:w="0" w:type="dxa"/>
        </w:tblCellMar>
        <w:tblLook w:val="04A0" w:firstRow="1" w:lastRow="0" w:firstColumn="1" w:lastColumn="0" w:noHBand="0" w:noVBand="1"/>
      </w:tblPr>
      <w:tblGrid>
        <w:gridCol w:w="536"/>
        <w:gridCol w:w="3761"/>
        <w:gridCol w:w="4208"/>
      </w:tblGrid>
      <w:tr w:rsidR="00C5513A" w:rsidRPr="00872076" w14:paraId="45B6BBD0" w14:textId="77777777" w:rsidTr="00855E8B">
        <w:trPr>
          <w:jc w:val="center"/>
        </w:trPr>
        <w:tc>
          <w:tcPr>
            <w:tcW w:w="8505" w:type="dxa"/>
            <w:gridSpan w:val="3"/>
            <w:tcBorders>
              <w:top w:val="single" w:sz="8" w:space="0" w:color="auto"/>
              <w:left w:val="single" w:sz="8" w:space="0" w:color="auto"/>
              <w:bottom w:val="nil"/>
              <w:right w:val="single" w:sz="8" w:space="0" w:color="auto"/>
            </w:tcBorders>
            <w:tcMar>
              <w:top w:w="0" w:type="dxa"/>
              <w:left w:w="108" w:type="dxa"/>
              <w:bottom w:w="0" w:type="dxa"/>
              <w:right w:w="108" w:type="dxa"/>
            </w:tcMar>
            <w:hideMark/>
          </w:tcPr>
          <w:p w14:paraId="440D1A4C" w14:textId="77777777" w:rsidR="00C5513A" w:rsidRPr="00872076" w:rsidRDefault="00C5513A" w:rsidP="00855E8B">
            <w:pPr>
              <w:spacing w:before="100" w:beforeAutospacing="1" w:after="100" w:afterAutospacing="1" w:line="240" w:lineRule="atLeast"/>
              <w:jc w:val="center"/>
              <w:rPr>
                <w:rFonts w:eastAsia="Times New Roman"/>
                <w:lang w:eastAsia="tr-TR"/>
              </w:rPr>
            </w:pPr>
            <w:r w:rsidRPr="00872076">
              <w:rPr>
                <w:rFonts w:eastAsia="Times New Roman"/>
                <w:b/>
                <w:bCs/>
                <w:lang w:eastAsia="tr-TR"/>
              </w:rPr>
              <w:t>Yönetmeliğin Yayımlandığı Resmî Gazete'nin</w:t>
            </w:r>
          </w:p>
        </w:tc>
      </w:tr>
      <w:tr w:rsidR="00C5513A" w:rsidRPr="00872076" w14:paraId="0BC9324E" w14:textId="77777777" w:rsidTr="00855E8B">
        <w:trPr>
          <w:jc w:val="center"/>
        </w:trPr>
        <w:tc>
          <w:tcPr>
            <w:tcW w:w="4297" w:type="dxa"/>
            <w:gridSpan w:val="2"/>
            <w:tcBorders>
              <w:top w:val="nil"/>
              <w:left w:val="single" w:sz="8" w:space="0" w:color="auto"/>
              <w:bottom w:val="single" w:sz="8" w:space="0" w:color="auto"/>
              <w:right w:val="nil"/>
            </w:tcBorders>
            <w:tcMar>
              <w:top w:w="0" w:type="dxa"/>
              <w:left w:w="108" w:type="dxa"/>
              <w:bottom w:w="0" w:type="dxa"/>
              <w:right w:w="108" w:type="dxa"/>
            </w:tcMar>
            <w:hideMark/>
          </w:tcPr>
          <w:p w14:paraId="0E4FEB1D" w14:textId="77777777" w:rsidR="00C5513A" w:rsidRPr="00872076" w:rsidRDefault="00C5513A" w:rsidP="00855E8B">
            <w:pPr>
              <w:spacing w:before="100" w:beforeAutospacing="1" w:after="100" w:afterAutospacing="1" w:line="240" w:lineRule="atLeast"/>
              <w:jc w:val="center"/>
              <w:rPr>
                <w:rFonts w:eastAsia="Times New Roman"/>
                <w:lang w:eastAsia="tr-TR"/>
              </w:rPr>
            </w:pPr>
            <w:r w:rsidRPr="00872076">
              <w:rPr>
                <w:rFonts w:eastAsia="Times New Roman"/>
                <w:b/>
                <w:bCs/>
                <w:lang w:eastAsia="tr-TR"/>
              </w:rPr>
              <w:t>Tarihi</w:t>
            </w:r>
          </w:p>
        </w:tc>
        <w:tc>
          <w:tcPr>
            <w:tcW w:w="4208" w:type="dxa"/>
            <w:tcBorders>
              <w:top w:val="nil"/>
              <w:left w:val="nil"/>
              <w:bottom w:val="single" w:sz="8" w:space="0" w:color="auto"/>
              <w:right w:val="single" w:sz="8" w:space="0" w:color="auto"/>
            </w:tcBorders>
            <w:tcMar>
              <w:top w:w="0" w:type="dxa"/>
              <w:left w:w="108" w:type="dxa"/>
              <w:bottom w:w="0" w:type="dxa"/>
              <w:right w:w="108" w:type="dxa"/>
            </w:tcMar>
            <w:hideMark/>
          </w:tcPr>
          <w:p w14:paraId="2AFB7521" w14:textId="77777777" w:rsidR="00C5513A" w:rsidRPr="00872076" w:rsidRDefault="00C5513A" w:rsidP="00855E8B">
            <w:pPr>
              <w:spacing w:before="100" w:beforeAutospacing="1" w:after="100" w:afterAutospacing="1" w:line="240" w:lineRule="atLeast"/>
              <w:jc w:val="center"/>
              <w:rPr>
                <w:rFonts w:eastAsia="Times New Roman"/>
                <w:lang w:eastAsia="tr-TR"/>
              </w:rPr>
            </w:pPr>
            <w:r w:rsidRPr="00872076">
              <w:rPr>
                <w:rFonts w:eastAsia="Times New Roman"/>
                <w:b/>
                <w:bCs/>
                <w:lang w:eastAsia="tr-TR"/>
              </w:rPr>
              <w:t>Sayısı</w:t>
            </w:r>
          </w:p>
        </w:tc>
      </w:tr>
      <w:tr w:rsidR="00C5513A" w:rsidRPr="00872076" w14:paraId="085673F7" w14:textId="77777777" w:rsidTr="00855E8B">
        <w:trPr>
          <w:jc w:val="center"/>
        </w:trPr>
        <w:tc>
          <w:tcPr>
            <w:tcW w:w="429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9BA078" w14:textId="234E8CAF" w:rsidR="00C5513A" w:rsidRPr="00872076" w:rsidRDefault="00B634E4" w:rsidP="00B634E4">
            <w:pPr>
              <w:spacing w:before="100" w:beforeAutospacing="1" w:after="100" w:afterAutospacing="1" w:line="240" w:lineRule="atLeast"/>
              <w:ind w:left="1588" w:hanging="1588"/>
              <w:jc w:val="center"/>
              <w:rPr>
                <w:rFonts w:eastAsia="Times New Roman"/>
                <w:lang w:eastAsia="tr-TR"/>
              </w:rPr>
            </w:pPr>
            <w:r>
              <w:rPr>
                <w:rFonts w:eastAsia="Times New Roman"/>
                <w:lang w:val="en-US" w:eastAsia="tr-TR"/>
              </w:rPr>
              <w:t>9</w:t>
            </w:r>
            <w:r w:rsidR="00C5513A" w:rsidRPr="00872076">
              <w:rPr>
                <w:rFonts w:eastAsia="Times New Roman"/>
                <w:lang w:val="en-US" w:eastAsia="tr-TR"/>
              </w:rPr>
              <w:t>/</w:t>
            </w:r>
            <w:r>
              <w:rPr>
                <w:rFonts w:eastAsia="Times New Roman"/>
                <w:lang w:val="en-US" w:eastAsia="tr-TR"/>
              </w:rPr>
              <w:t>5</w:t>
            </w:r>
            <w:r w:rsidR="00C5513A" w:rsidRPr="00872076">
              <w:rPr>
                <w:rFonts w:eastAsia="Times New Roman"/>
                <w:lang w:val="en-US" w:eastAsia="tr-TR"/>
              </w:rPr>
              <w:t>/20</w:t>
            </w:r>
            <w:r>
              <w:rPr>
                <w:rFonts w:eastAsia="Times New Roman"/>
                <w:lang w:val="en-US" w:eastAsia="tr-TR"/>
              </w:rPr>
              <w:t>21</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67F609" w14:textId="28E0401F" w:rsidR="00C5513A" w:rsidRPr="00872076" w:rsidRDefault="00B634E4" w:rsidP="00855E8B">
            <w:pPr>
              <w:spacing w:before="100" w:beforeAutospacing="1" w:after="100" w:afterAutospacing="1" w:line="240" w:lineRule="atLeast"/>
              <w:ind w:left="1588" w:hanging="1588"/>
              <w:jc w:val="center"/>
              <w:rPr>
                <w:rFonts w:eastAsia="Times New Roman"/>
                <w:lang w:eastAsia="tr-TR"/>
              </w:rPr>
            </w:pPr>
            <w:r>
              <w:rPr>
                <w:rFonts w:eastAsia="Times New Roman"/>
                <w:lang w:val="en-US" w:eastAsia="tr-TR"/>
              </w:rPr>
              <w:t>31479</w:t>
            </w:r>
          </w:p>
        </w:tc>
      </w:tr>
      <w:tr w:rsidR="00C5513A" w:rsidRPr="00872076" w14:paraId="09D34065" w14:textId="77777777" w:rsidTr="00855E8B">
        <w:trPr>
          <w:jc w:val="center"/>
        </w:trPr>
        <w:tc>
          <w:tcPr>
            <w:tcW w:w="8505" w:type="dxa"/>
            <w:gridSpan w:val="3"/>
            <w:tcBorders>
              <w:top w:val="nil"/>
              <w:left w:val="single" w:sz="8" w:space="0" w:color="auto"/>
              <w:bottom w:val="nil"/>
              <w:right w:val="single" w:sz="8" w:space="0" w:color="auto"/>
            </w:tcBorders>
            <w:tcMar>
              <w:top w:w="0" w:type="dxa"/>
              <w:left w:w="108" w:type="dxa"/>
              <w:bottom w:w="0" w:type="dxa"/>
              <w:right w:w="108" w:type="dxa"/>
            </w:tcMar>
            <w:hideMark/>
          </w:tcPr>
          <w:p w14:paraId="77AB8326" w14:textId="77777777" w:rsidR="00C5513A" w:rsidRPr="00872076" w:rsidRDefault="00C5513A" w:rsidP="00855E8B">
            <w:pPr>
              <w:spacing w:before="100" w:beforeAutospacing="1" w:after="100" w:afterAutospacing="1" w:line="240" w:lineRule="atLeast"/>
              <w:jc w:val="center"/>
              <w:rPr>
                <w:rFonts w:eastAsia="Times New Roman"/>
                <w:lang w:eastAsia="tr-TR"/>
              </w:rPr>
            </w:pPr>
            <w:r w:rsidRPr="00872076">
              <w:rPr>
                <w:rFonts w:eastAsia="Times New Roman"/>
                <w:b/>
                <w:bCs/>
                <w:lang w:eastAsia="tr-TR"/>
              </w:rPr>
              <w:t>Yönetmelikte Değişiklik Yapan Yönetmeliklerin Yayımlandığı Resmî Gazete'nin</w:t>
            </w:r>
          </w:p>
        </w:tc>
      </w:tr>
      <w:tr w:rsidR="00C5513A" w:rsidRPr="00872076" w14:paraId="61B53152" w14:textId="77777777" w:rsidTr="00855E8B">
        <w:trPr>
          <w:jc w:val="center"/>
        </w:trPr>
        <w:tc>
          <w:tcPr>
            <w:tcW w:w="4297" w:type="dxa"/>
            <w:gridSpan w:val="2"/>
            <w:tcBorders>
              <w:top w:val="nil"/>
              <w:left w:val="single" w:sz="8" w:space="0" w:color="auto"/>
              <w:bottom w:val="single" w:sz="8" w:space="0" w:color="auto"/>
              <w:right w:val="nil"/>
            </w:tcBorders>
            <w:tcMar>
              <w:top w:w="0" w:type="dxa"/>
              <w:left w:w="108" w:type="dxa"/>
              <w:bottom w:w="0" w:type="dxa"/>
              <w:right w:w="108" w:type="dxa"/>
            </w:tcMar>
            <w:hideMark/>
          </w:tcPr>
          <w:p w14:paraId="085A1246" w14:textId="77777777" w:rsidR="00C5513A" w:rsidRPr="00872076" w:rsidRDefault="00C5513A" w:rsidP="00855E8B">
            <w:pPr>
              <w:spacing w:before="100" w:beforeAutospacing="1" w:after="100" w:afterAutospacing="1" w:line="240" w:lineRule="atLeast"/>
              <w:jc w:val="center"/>
              <w:rPr>
                <w:rFonts w:eastAsia="Times New Roman"/>
                <w:lang w:eastAsia="tr-TR"/>
              </w:rPr>
            </w:pPr>
            <w:r w:rsidRPr="00872076">
              <w:rPr>
                <w:rFonts w:eastAsia="Times New Roman"/>
                <w:b/>
                <w:bCs/>
                <w:lang w:eastAsia="tr-TR"/>
              </w:rPr>
              <w:t>Tarihi</w:t>
            </w:r>
          </w:p>
        </w:tc>
        <w:tc>
          <w:tcPr>
            <w:tcW w:w="4208" w:type="dxa"/>
            <w:tcBorders>
              <w:top w:val="nil"/>
              <w:left w:val="nil"/>
              <w:bottom w:val="single" w:sz="8" w:space="0" w:color="auto"/>
              <w:right w:val="single" w:sz="8" w:space="0" w:color="auto"/>
            </w:tcBorders>
            <w:tcMar>
              <w:top w:w="0" w:type="dxa"/>
              <w:left w:w="108" w:type="dxa"/>
              <w:bottom w:w="0" w:type="dxa"/>
              <w:right w:w="108" w:type="dxa"/>
            </w:tcMar>
            <w:hideMark/>
          </w:tcPr>
          <w:p w14:paraId="027BC806" w14:textId="77777777" w:rsidR="00C5513A" w:rsidRPr="00872076" w:rsidRDefault="00C5513A" w:rsidP="00855E8B">
            <w:pPr>
              <w:spacing w:before="100" w:beforeAutospacing="1" w:after="100" w:afterAutospacing="1" w:line="240" w:lineRule="atLeast"/>
              <w:jc w:val="center"/>
              <w:rPr>
                <w:rFonts w:eastAsia="Times New Roman"/>
                <w:lang w:eastAsia="tr-TR"/>
              </w:rPr>
            </w:pPr>
            <w:r w:rsidRPr="00872076">
              <w:rPr>
                <w:rFonts w:eastAsia="Times New Roman"/>
                <w:b/>
                <w:bCs/>
                <w:lang w:eastAsia="tr-TR"/>
              </w:rPr>
              <w:t>Sayısı</w:t>
            </w:r>
          </w:p>
        </w:tc>
      </w:tr>
      <w:tr w:rsidR="00C5513A" w:rsidRPr="00872076" w14:paraId="5403C683" w14:textId="77777777" w:rsidTr="00EF302F">
        <w:trPr>
          <w:jc w:val="center"/>
        </w:trPr>
        <w:tc>
          <w:tcPr>
            <w:tcW w:w="53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23CD995" w14:textId="6BD29EC5" w:rsidR="00C5513A" w:rsidRPr="00872076" w:rsidRDefault="00B634E4" w:rsidP="00855E8B">
            <w:pPr>
              <w:spacing w:before="100" w:beforeAutospacing="1" w:after="100" w:afterAutospacing="1" w:line="240" w:lineRule="atLeast"/>
              <w:jc w:val="center"/>
              <w:rPr>
                <w:rFonts w:eastAsia="Times New Roman"/>
                <w:b/>
                <w:lang w:eastAsia="tr-TR"/>
              </w:rPr>
            </w:pPr>
            <w:r>
              <w:rPr>
                <w:rFonts w:eastAsia="Times New Roman"/>
                <w:b/>
                <w:lang w:eastAsia="tr-TR"/>
              </w:rPr>
              <w:t>1</w:t>
            </w:r>
            <w:r w:rsidR="00C5513A">
              <w:rPr>
                <w:rFonts w:eastAsia="Times New Roman"/>
                <w:b/>
                <w:lang w:eastAsia="tr-TR"/>
              </w:rPr>
              <w:t>-</w:t>
            </w:r>
          </w:p>
        </w:tc>
        <w:tc>
          <w:tcPr>
            <w:tcW w:w="3761"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1373DEB5" w14:textId="77777777" w:rsidR="00C5513A" w:rsidRPr="00872076" w:rsidRDefault="00C5513A" w:rsidP="00855E8B">
            <w:pPr>
              <w:spacing w:line="240" w:lineRule="atLeast"/>
              <w:ind w:left="53" w:right="480" w:hanging="53"/>
              <w:jc w:val="center"/>
              <w:rPr>
                <w:rFonts w:eastAsia="Times New Roman"/>
                <w:lang w:eastAsia="tr-TR"/>
              </w:rPr>
            </w:pPr>
            <w:r>
              <w:rPr>
                <w:rFonts w:eastAsia="Times New Roman"/>
                <w:bCs/>
              </w:rPr>
              <w:t>19/11/2022</w:t>
            </w:r>
          </w:p>
        </w:tc>
        <w:tc>
          <w:tcPr>
            <w:tcW w:w="0" w:type="auto"/>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5F33745C" w14:textId="77777777" w:rsidR="00C5513A" w:rsidRPr="00872076" w:rsidRDefault="00C5513A" w:rsidP="00855E8B">
            <w:pPr>
              <w:spacing w:before="100" w:beforeAutospacing="1" w:after="100" w:afterAutospacing="1" w:line="300" w:lineRule="atLeast"/>
              <w:jc w:val="center"/>
              <w:rPr>
                <w:rFonts w:eastAsia="Times New Roman"/>
                <w:lang w:eastAsia="tr-TR"/>
              </w:rPr>
            </w:pPr>
            <w:r>
              <w:rPr>
                <w:rFonts w:eastAsia="Times New Roman"/>
                <w:bCs/>
              </w:rPr>
              <w:t>32018</w:t>
            </w:r>
          </w:p>
        </w:tc>
      </w:tr>
      <w:tr w:rsidR="00EF302F" w:rsidRPr="00872076" w14:paraId="115FF0C1" w14:textId="77777777" w:rsidTr="00EF302F">
        <w:trPr>
          <w:jc w:val="center"/>
        </w:trPr>
        <w:tc>
          <w:tcPr>
            <w:tcW w:w="53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C1E289F" w14:textId="016ED85F" w:rsidR="00EF302F" w:rsidRDefault="00EF302F" w:rsidP="00855E8B">
            <w:pPr>
              <w:spacing w:before="100" w:beforeAutospacing="1" w:after="100" w:afterAutospacing="1" w:line="240" w:lineRule="atLeast"/>
              <w:jc w:val="center"/>
              <w:rPr>
                <w:rFonts w:eastAsia="Times New Roman"/>
                <w:b/>
                <w:lang w:eastAsia="tr-TR"/>
              </w:rPr>
            </w:pPr>
            <w:r>
              <w:rPr>
                <w:rFonts w:eastAsia="Times New Roman"/>
                <w:b/>
                <w:lang w:eastAsia="tr-TR"/>
              </w:rPr>
              <w:lastRenderedPageBreak/>
              <w:t>2-</w:t>
            </w:r>
          </w:p>
        </w:tc>
        <w:tc>
          <w:tcPr>
            <w:tcW w:w="3761"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6C092AA9" w14:textId="3A20A7C0" w:rsidR="00EF302F" w:rsidRDefault="00EF302F" w:rsidP="00855E8B">
            <w:pPr>
              <w:spacing w:line="240" w:lineRule="atLeast"/>
              <w:ind w:left="53" w:right="480" w:hanging="53"/>
              <w:jc w:val="center"/>
              <w:rPr>
                <w:rFonts w:eastAsia="Times New Roman"/>
                <w:bCs/>
              </w:rPr>
            </w:pPr>
            <w:r>
              <w:rPr>
                <w:rFonts w:eastAsia="Times New Roman"/>
                <w:bCs/>
              </w:rPr>
              <w:t>17/12/2024</w:t>
            </w:r>
          </w:p>
        </w:tc>
        <w:tc>
          <w:tcPr>
            <w:tcW w:w="0" w:type="auto"/>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36B67980" w14:textId="650831DF" w:rsidR="00EF302F" w:rsidRDefault="00EF302F" w:rsidP="00855E8B">
            <w:pPr>
              <w:spacing w:before="100" w:beforeAutospacing="1" w:after="100" w:afterAutospacing="1" w:line="300" w:lineRule="atLeast"/>
              <w:jc w:val="center"/>
              <w:rPr>
                <w:rFonts w:eastAsia="Times New Roman"/>
                <w:bCs/>
              </w:rPr>
            </w:pPr>
            <w:r>
              <w:rPr>
                <w:rFonts w:eastAsia="Times New Roman"/>
                <w:bCs/>
              </w:rPr>
              <w:t>32755</w:t>
            </w:r>
          </w:p>
        </w:tc>
      </w:tr>
      <w:tr w:rsidR="00EF302F" w:rsidRPr="00872076" w14:paraId="3E345376" w14:textId="77777777" w:rsidTr="00855E8B">
        <w:trPr>
          <w:jc w:val="center"/>
        </w:trPr>
        <w:tc>
          <w:tcPr>
            <w:tcW w:w="536"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372CDBD" w14:textId="0DFE48BB" w:rsidR="00EF302F" w:rsidRDefault="00EF302F" w:rsidP="00855E8B">
            <w:pPr>
              <w:spacing w:before="100" w:beforeAutospacing="1" w:after="100" w:afterAutospacing="1" w:line="240" w:lineRule="atLeast"/>
              <w:jc w:val="center"/>
              <w:rPr>
                <w:rFonts w:eastAsia="Times New Roman"/>
                <w:b/>
                <w:lang w:eastAsia="tr-TR"/>
              </w:rPr>
            </w:pPr>
            <w:r>
              <w:rPr>
                <w:rFonts w:eastAsia="Times New Roman"/>
                <w:b/>
                <w:lang w:eastAsia="tr-TR"/>
              </w:rPr>
              <w:t>3-</w:t>
            </w:r>
          </w:p>
        </w:tc>
        <w:tc>
          <w:tcPr>
            <w:tcW w:w="3761"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64B7A44" w14:textId="753B6A6A" w:rsidR="00EF302F" w:rsidRDefault="00EF302F" w:rsidP="00855E8B">
            <w:pPr>
              <w:spacing w:line="240" w:lineRule="atLeast"/>
              <w:ind w:left="53" w:right="480" w:hanging="53"/>
              <w:jc w:val="center"/>
              <w:rPr>
                <w:rFonts w:eastAsia="Times New Roman"/>
                <w:bCs/>
              </w:rPr>
            </w:pPr>
            <w:r>
              <w:rPr>
                <w:rFonts w:eastAsia="Times New Roman"/>
                <w:bCs/>
              </w:rPr>
              <w:t>21/1/2025</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089E5BCC" w14:textId="791AC898" w:rsidR="00EF302F" w:rsidRDefault="00EF302F" w:rsidP="00855E8B">
            <w:pPr>
              <w:spacing w:before="100" w:beforeAutospacing="1" w:after="100" w:afterAutospacing="1" w:line="300" w:lineRule="atLeast"/>
              <w:jc w:val="center"/>
              <w:rPr>
                <w:rFonts w:eastAsia="Times New Roman"/>
                <w:bCs/>
              </w:rPr>
            </w:pPr>
            <w:r>
              <w:rPr>
                <w:rFonts w:eastAsia="Times New Roman"/>
                <w:bCs/>
              </w:rPr>
              <w:t>32789</w:t>
            </w:r>
            <w:bookmarkStart w:id="0" w:name="_GoBack"/>
            <w:bookmarkEnd w:id="0"/>
          </w:p>
        </w:tc>
      </w:tr>
    </w:tbl>
    <w:p w14:paraId="67C3E8B2" w14:textId="77777777" w:rsidR="00C5513A" w:rsidRDefault="00C5513A" w:rsidP="007527B2">
      <w:pPr>
        <w:ind w:firstLine="567"/>
        <w:contextualSpacing/>
        <w:sectPr w:rsidR="00C5513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pPr>
    </w:p>
    <w:p w14:paraId="796DA6A6" w14:textId="7D3411CD" w:rsidR="00A367C8" w:rsidRPr="00877C51" w:rsidRDefault="00A367C8" w:rsidP="007527B2">
      <w:pPr>
        <w:ind w:firstLine="567"/>
        <w:contextualSpacing/>
      </w:pPr>
      <w:r w:rsidRPr="001D02AC">
        <w:rPr>
          <w:noProof/>
          <w:lang w:eastAsia="tr-TR"/>
        </w:rPr>
        <w:lastRenderedPageBreak/>
        <w:drawing>
          <wp:anchor distT="0" distB="0" distL="114300" distR="114300" simplePos="0" relativeHeight="251659264" behindDoc="0" locked="0" layoutInCell="1" allowOverlap="1" wp14:anchorId="3C6829EB" wp14:editId="6A8E6081">
            <wp:simplePos x="0" y="0"/>
            <wp:positionH relativeFrom="margin">
              <wp:posOffset>-635</wp:posOffset>
            </wp:positionH>
            <wp:positionV relativeFrom="paragraph">
              <wp:posOffset>53340</wp:posOffset>
            </wp:positionV>
            <wp:extent cx="9357360" cy="5704545"/>
            <wp:effectExtent l="0" t="0" r="0" b="0"/>
            <wp:wrapThrough wrapText="bothSides">
              <wp:wrapPolygon edited="0">
                <wp:start x="0" y="0"/>
                <wp:lineTo x="0" y="21497"/>
                <wp:lineTo x="21547" y="21497"/>
                <wp:lineTo x="21547"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357360" cy="5704545"/>
                    </a:xfrm>
                    <a:prstGeom prst="rect">
                      <a:avLst/>
                    </a:prstGeom>
                  </pic:spPr>
                </pic:pic>
              </a:graphicData>
            </a:graphic>
            <wp14:sizeRelH relativeFrom="margin">
              <wp14:pctWidth>0</wp14:pctWidth>
            </wp14:sizeRelH>
            <wp14:sizeRelV relativeFrom="margin">
              <wp14:pctHeight>0</wp14:pctHeight>
            </wp14:sizeRelV>
          </wp:anchor>
        </w:drawing>
      </w:r>
      <w:r w:rsidR="004C0905">
        <w:rPr>
          <w:rStyle w:val="FootnoteReference"/>
        </w:rPr>
        <w:footnoteReference w:id="24"/>
      </w:r>
      <w:r w:rsidR="004C0905">
        <w:t xml:space="preserve">19 </w:t>
      </w:r>
      <w:r w:rsidR="004C0905" w:rsidRPr="001350F4">
        <w:t>Kasım 2022 tarihli ve 32018 sayılı Resmi Gazete’de yayımlanan Yönetmelikle</w:t>
      </w:r>
      <w:r w:rsidR="004C0905">
        <w:t xml:space="preserve"> eklenmiştir</w:t>
      </w:r>
      <w:r w:rsidR="004C0905" w:rsidRPr="001350F4">
        <w:t>.</w:t>
      </w:r>
    </w:p>
    <w:sectPr w:rsidR="00A367C8" w:rsidRPr="00877C51" w:rsidSect="004C090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C0D54" w14:textId="77777777" w:rsidR="00A22D1F" w:rsidRDefault="00A22D1F" w:rsidP="007527B2">
      <w:pPr>
        <w:spacing w:line="240" w:lineRule="auto"/>
      </w:pPr>
      <w:r>
        <w:separator/>
      </w:r>
    </w:p>
  </w:endnote>
  <w:endnote w:type="continuationSeparator" w:id="0">
    <w:p w14:paraId="71197B01" w14:textId="77777777" w:rsidR="00A22D1F" w:rsidRDefault="00A22D1F" w:rsidP="00752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AD937" w14:textId="77777777" w:rsidR="000A2AF7" w:rsidRDefault="000A2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706922"/>
      <w:docPartObj>
        <w:docPartGallery w:val="Page Numbers (Bottom of Page)"/>
        <w:docPartUnique/>
      </w:docPartObj>
    </w:sdtPr>
    <w:sdtEndPr>
      <w:rPr>
        <w:rFonts w:asciiTheme="minorHAnsi" w:hAnsiTheme="minorHAnsi" w:cstheme="minorHAnsi"/>
        <w:sz w:val="20"/>
        <w:szCs w:val="20"/>
      </w:rPr>
    </w:sdtEndPr>
    <w:sdtContent>
      <w:p w14:paraId="0C5655FA" w14:textId="743A89E6" w:rsidR="007527B2" w:rsidRPr="009F7885" w:rsidRDefault="007527B2">
        <w:pPr>
          <w:pStyle w:val="Footer"/>
          <w:jc w:val="center"/>
          <w:rPr>
            <w:rFonts w:asciiTheme="minorHAnsi" w:hAnsiTheme="minorHAnsi" w:cstheme="minorHAnsi"/>
            <w:sz w:val="20"/>
            <w:szCs w:val="20"/>
          </w:rPr>
        </w:pPr>
        <w:r w:rsidRPr="009F7885">
          <w:rPr>
            <w:rFonts w:asciiTheme="minorHAnsi" w:hAnsiTheme="minorHAnsi" w:cstheme="minorHAnsi"/>
            <w:sz w:val="20"/>
            <w:szCs w:val="20"/>
          </w:rPr>
          <w:fldChar w:fldCharType="begin"/>
        </w:r>
        <w:r w:rsidRPr="009F7885">
          <w:rPr>
            <w:rFonts w:asciiTheme="minorHAnsi" w:hAnsiTheme="minorHAnsi" w:cstheme="minorHAnsi"/>
            <w:sz w:val="20"/>
            <w:szCs w:val="20"/>
          </w:rPr>
          <w:instrText>PAGE   \* MERGEFORMAT</w:instrText>
        </w:r>
        <w:r w:rsidRPr="009F7885">
          <w:rPr>
            <w:rFonts w:asciiTheme="minorHAnsi" w:hAnsiTheme="minorHAnsi" w:cstheme="minorHAnsi"/>
            <w:sz w:val="20"/>
            <w:szCs w:val="20"/>
          </w:rPr>
          <w:fldChar w:fldCharType="separate"/>
        </w:r>
        <w:r w:rsidR="00B634E4">
          <w:rPr>
            <w:rFonts w:asciiTheme="minorHAnsi" w:hAnsiTheme="minorHAnsi" w:cstheme="minorHAnsi"/>
            <w:noProof/>
            <w:sz w:val="20"/>
            <w:szCs w:val="20"/>
          </w:rPr>
          <w:t>3</w:t>
        </w:r>
        <w:r w:rsidRPr="009F7885">
          <w:rPr>
            <w:rFonts w:asciiTheme="minorHAnsi" w:hAnsiTheme="minorHAnsi" w:cstheme="minorHAnsi"/>
            <w:sz w:val="20"/>
            <w:szCs w:val="20"/>
          </w:rPr>
          <w:fldChar w:fldCharType="end"/>
        </w:r>
      </w:p>
    </w:sdtContent>
  </w:sdt>
  <w:p w14:paraId="672D073F" w14:textId="77777777" w:rsidR="007527B2" w:rsidRDefault="007527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E711F" w14:textId="77777777" w:rsidR="000A2AF7" w:rsidRDefault="000A2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1558F" w14:textId="77777777" w:rsidR="00A22D1F" w:rsidRDefault="00A22D1F" w:rsidP="007527B2">
      <w:pPr>
        <w:spacing w:line="240" w:lineRule="auto"/>
      </w:pPr>
      <w:r>
        <w:separator/>
      </w:r>
    </w:p>
  </w:footnote>
  <w:footnote w:type="continuationSeparator" w:id="0">
    <w:p w14:paraId="41A45FD5" w14:textId="77777777" w:rsidR="00A22D1F" w:rsidRDefault="00A22D1F" w:rsidP="007527B2">
      <w:pPr>
        <w:spacing w:line="240" w:lineRule="auto"/>
      </w:pPr>
      <w:r>
        <w:continuationSeparator/>
      </w:r>
    </w:p>
  </w:footnote>
  <w:footnote w:id="1">
    <w:p w14:paraId="55E75D28" w14:textId="2D9FB1F8" w:rsidR="001350F4" w:rsidRDefault="001350F4">
      <w:pPr>
        <w:pStyle w:val="FootnoteText"/>
      </w:pPr>
      <w:r>
        <w:rPr>
          <w:rStyle w:val="FootnoteReference"/>
        </w:rPr>
        <w:footnoteRef/>
      </w:r>
      <w:r>
        <w:t xml:space="preserve"> 19 Kasım 2022 tarih</w:t>
      </w:r>
      <w:r w:rsidR="00C5513A">
        <w:t>li ve 32018 sayılı Resmi Gazete</w:t>
      </w:r>
      <w:r>
        <w:t xml:space="preserve">de </w:t>
      </w:r>
      <w:r w:rsidRPr="001350F4">
        <w:t>yayımlanan Yönetmelikle değiştirilmiştir.</w:t>
      </w:r>
    </w:p>
  </w:footnote>
  <w:footnote w:id="2">
    <w:p w14:paraId="0519B346" w14:textId="5CA30FF6" w:rsidR="001350F4" w:rsidRDefault="001350F4">
      <w:pPr>
        <w:pStyle w:val="FootnoteText"/>
      </w:pPr>
      <w:r>
        <w:rPr>
          <w:rStyle w:val="FootnoteReference"/>
        </w:rPr>
        <w:footnoteRef/>
      </w:r>
      <w:r>
        <w:t xml:space="preserve"> </w:t>
      </w:r>
      <w:r w:rsidRPr="001350F4">
        <w:t>19 Kasım 2022 tarih</w:t>
      </w:r>
      <w:r w:rsidR="00C5513A">
        <w:t>li ve 32018 sayılı Resmi Gazete</w:t>
      </w:r>
      <w:r w:rsidRPr="001350F4">
        <w:t>de yayımlanan Yönetmelikle</w:t>
      </w:r>
      <w:r w:rsidR="009239AA">
        <w:t xml:space="preserve"> eklenmiştir</w:t>
      </w:r>
      <w:r w:rsidRPr="001350F4">
        <w:t>.</w:t>
      </w:r>
    </w:p>
  </w:footnote>
  <w:footnote w:id="3">
    <w:p w14:paraId="43710AA3" w14:textId="53ED230D" w:rsidR="009239AA" w:rsidRDefault="009239AA">
      <w:pPr>
        <w:pStyle w:val="FootnoteText"/>
      </w:pPr>
      <w:r>
        <w:rPr>
          <w:rStyle w:val="FootnoteReference"/>
        </w:rPr>
        <w:footnoteRef/>
      </w:r>
      <w:r>
        <w:t xml:space="preserve"> </w:t>
      </w:r>
      <w:r w:rsidRPr="001350F4">
        <w:t>19 Kasım 2022 tarih</w:t>
      </w:r>
      <w:r w:rsidR="00C5513A">
        <w:t>li ve 32018 sayılı Resmi Gazete</w:t>
      </w:r>
      <w:r w:rsidRPr="001350F4">
        <w:t>de yayımlanan Yönetmelikle değiştirilmiştir.</w:t>
      </w:r>
    </w:p>
  </w:footnote>
  <w:footnote w:id="4">
    <w:p w14:paraId="50AB902C" w14:textId="098B9224" w:rsidR="009239AA" w:rsidRDefault="009239AA">
      <w:pPr>
        <w:pStyle w:val="FootnoteText"/>
      </w:pPr>
      <w:r>
        <w:rPr>
          <w:rStyle w:val="FootnoteReference"/>
        </w:rPr>
        <w:footnoteRef/>
      </w:r>
      <w:r>
        <w:t xml:space="preserve"> 19 </w:t>
      </w:r>
      <w:r w:rsidRPr="001350F4">
        <w:t>Kasım 2022 tarih</w:t>
      </w:r>
      <w:r w:rsidR="00C5513A">
        <w:t>li ve 32018 sayılı Resmi Gazete</w:t>
      </w:r>
      <w:r w:rsidRPr="001350F4">
        <w:t>de yayımlanan Yönetmelikle</w:t>
      </w:r>
      <w:r>
        <w:t xml:space="preserve"> eklenmiştir</w:t>
      </w:r>
      <w:r w:rsidRPr="001350F4">
        <w:t>.</w:t>
      </w:r>
    </w:p>
  </w:footnote>
  <w:footnote w:id="5">
    <w:p w14:paraId="4DE14BF2" w14:textId="1206100F" w:rsidR="009239AA" w:rsidRDefault="009239AA">
      <w:pPr>
        <w:pStyle w:val="FootnoteText"/>
      </w:pPr>
      <w:r>
        <w:rPr>
          <w:rStyle w:val="FootnoteReference"/>
        </w:rPr>
        <w:footnoteRef/>
      </w:r>
      <w:r>
        <w:t xml:space="preserve"> 19 </w:t>
      </w:r>
      <w:r w:rsidRPr="001350F4">
        <w:t>Kasım 2022 tarih</w:t>
      </w:r>
      <w:r w:rsidR="00C5513A">
        <w:t>li ve 32018 sayılı Resmi Gazete</w:t>
      </w:r>
      <w:r w:rsidRPr="001350F4">
        <w:t>de yayımlanan Yönetmelikle</w:t>
      </w:r>
      <w:r>
        <w:t xml:space="preserve"> eklenmiştir</w:t>
      </w:r>
      <w:r w:rsidRPr="001350F4">
        <w:t>.</w:t>
      </w:r>
    </w:p>
  </w:footnote>
  <w:footnote w:id="6">
    <w:p w14:paraId="34C81D39" w14:textId="125CAA7F" w:rsidR="00EF302F" w:rsidRDefault="00EF302F">
      <w:pPr>
        <w:pStyle w:val="FootnoteText"/>
      </w:pPr>
      <w:r>
        <w:rPr>
          <w:rStyle w:val="FootnoteReference"/>
        </w:rPr>
        <w:footnoteRef/>
      </w:r>
      <w:r>
        <w:t xml:space="preserve"> </w:t>
      </w:r>
      <w:r w:rsidRPr="00EF302F">
        <w:t>21 Ocak 2025 tarihli ve 32789 sayılı Resmi Gazetede yayımlanan Yönetmelikle eklenmiştir.</w:t>
      </w:r>
    </w:p>
  </w:footnote>
  <w:footnote w:id="7">
    <w:p w14:paraId="69A26A94" w14:textId="54DB1958" w:rsidR="00EF302F" w:rsidRDefault="00EF302F">
      <w:pPr>
        <w:pStyle w:val="FootnoteText"/>
      </w:pPr>
      <w:r>
        <w:rPr>
          <w:rStyle w:val="FootnoteReference"/>
        </w:rPr>
        <w:footnoteRef/>
      </w:r>
      <w:r>
        <w:t xml:space="preserve"> </w:t>
      </w:r>
      <w:r w:rsidRPr="00EF302F">
        <w:t>21 Ocak 2025 tarihli ve 32789 sayılı Resmi Gazetede yayımlanan Yönetmelikle eklenmiştir.</w:t>
      </w:r>
    </w:p>
  </w:footnote>
  <w:footnote w:id="8">
    <w:p w14:paraId="2B2497F0" w14:textId="2DA522F9" w:rsidR="00F33AFF" w:rsidRDefault="00F33AFF">
      <w:pPr>
        <w:pStyle w:val="FootnoteText"/>
      </w:pPr>
      <w:r>
        <w:rPr>
          <w:rStyle w:val="FootnoteReference"/>
        </w:rPr>
        <w:footnoteRef/>
      </w:r>
      <w:r>
        <w:t xml:space="preserve"> </w:t>
      </w:r>
      <w:r w:rsidRPr="001350F4">
        <w:t>19 Kasım 2022 tarihli ve 32018 sayıl</w:t>
      </w:r>
      <w:r w:rsidR="00C5513A">
        <w:t>ı Resmi Gazete</w:t>
      </w:r>
      <w:r w:rsidRPr="001350F4">
        <w:t>de yayımlanan Yönetmelikle değiştirilmiştir.</w:t>
      </w:r>
    </w:p>
  </w:footnote>
  <w:footnote w:id="9">
    <w:p w14:paraId="00458480" w14:textId="7A0DDE39" w:rsidR="00F33AFF" w:rsidRDefault="00F33AFF">
      <w:pPr>
        <w:pStyle w:val="FootnoteText"/>
      </w:pPr>
      <w:r>
        <w:rPr>
          <w:rStyle w:val="FootnoteReference"/>
        </w:rPr>
        <w:footnoteRef/>
      </w:r>
      <w:r>
        <w:t xml:space="preserve"> </w:t>
      </w:r>
      <w:r w:rsidRPr="001350F4">
        <w:t>19 Kasım 2022 tarih</w:t>
      </w:r>
      <w:r w:rsidR="00C5513A">
        <w:t>li ve 32018 sayılı Resmi Gazete</w:t>
      </w:r>
      <w:r w:rsidRPr="001350F4">
        <w:t>de yayımlanan Yönetmelikle</w:t>
      </w:r>
      <w:r>
        <w:t xml:space="preserve"> yürürlükten kaldırılmıştır.</w:t>
      </w:r>
    </w:p>
  </w:footnote>
  <w:footnote w:id="10">
    <w:p w14:paraId="01C59666" w14:textId="095FF711" w:rsidR="00F33AFF" w:rsidRDefault="00F33AFF">
      <w:pPr>
        <w:pStyle w:val="FootnoteText"/>
      </w:pPr>
      <w:r>
        <w:rPr>
          <w:rStyle w:val="FootnoteReference"/>
        </w:rPr>
        <w:footnoteRef/>
      </w:r>
      <w:r>
        <w:t xml:space="preserve"> </w:t>
      </w:r>
      <w:r w:rsidRPr="001350F4">
        <w:t>19 Kasım 2022 tarih</w:t>
      </w:r>
      <w:r w:rsidR="00C5513A">
        <w:t>li ve 32018 sayılı Resmi Gazete</w:t>
      </w:r>
      <w:r w:rsidRPr="001350F4">
        <w:t>de yayımlanan Yönetmelikle değiştirilmiştir.</w:t>
      </w:r>
    </w:p>
  </w:footnote>
  <w:footnote w:id="11">
    <w:p w14:paraId="4CD740B0" w14:textId="3F45BA1F" w:rsidR="00F33AFF" w:rsidRDefault="00F33AFF">
      <w:pPr>
        <w:pStyle w:val="FootnoteText"/>
      </w:pPr>
      <w:r>
        <w:rPr>
          <w:rStyle w:val="FootnoteReference"/>
        </w:rPr>
        <w:footnoteRef/>
      </w:r>
      <w:r>
        <w:t xml:space="preserve"> </w:t>
      </w:r>
      <w:r w:rsidRPr="001350F4">
        <w:t>19 Kasım 2022 tarihli ve 32018 sayılı Resmi Gazetede yayımlanan Yönetmelikle değiştirilmiştir.</w:t>
      </w:r>
    </w:p>
  </w:footnote>
  <w:footnote w:id="12">
    <w:p w14:paraId="08B493CD" w14:textId="3128B459" w:rsidR="00F33AFF" w:rsidRDefault="00F33AFF">
      <w:pPr>
        <w:pStyle w:val="FootnoteText"/>
      </w:pPr>
      <w:r>
        <w:rPr>
          <w:rStyle w:val="FootnoteReference"/>
        </w:rPr>
        <w:footnoteRef/>
      </w:r>
      <w:r>
        <w:t xml:space="preserve"> </w:t>
      </w:r>
      <w:r w:rsidRPr="001350F4">
        <w:t>19 Kasım 2022 tarihli ve 32018 sayılı Resmi Gazetede yayımlanan Yönetmelikle değiştirilmiştir.</w:t>
      </w:r>
    </w:p>
  </w:footnote>
  <w:footnote w:id="13">
    <w:p w14:paraId="17073903" w14:textId="1B39C154" w:rsidR="00F33AFF" w:rsidRDefault="00F33AFF">
      <w:pPr>
        <w:pStyle w:val="FootnoteText"/>
      </w:pPr>
      <w:r>
        <w:rPr>
          <w:rStyle w:val="FootnoteReference"/>
        </w:rPr>
        <w:footnoteRef/>
      </w:r>
      <w:r>
        <w:t xml:space="preserve"> </w:t>
      </w:r>
      <w:r w:rsidRPr="001350F4">
        <w:t>19 Kasım 2022 tarihli ve 32018 sayılı Resmi Gazetede yayımlanan Yönetmelikle</w:t>
      </w:r>
      <w:r>
        <w:t xml:space="preserve"> yürürlükten kaldırılmıştır.</w:t>
      </w:r>
    </w:p>
  </w:footnote>
  <w:footnote w:id="14">
    <w:p w14:paraId="774AD587" w14:textId="40F43FFD" w:rsidR="00F33AFF" w:rsidRDefault="00F33AFF">
      <w:pPr>
        <w:pStyle w:val="FootnoteText"/>
      </w:pPr>
      <w:r>
        <w:rPr>
          <w:rStyle w:val="FootnoteReference"/>
        </w:rPr>
        <w:footnoteRef/>
      </w:r>
      <w:r>
        <w:t xml:space="preserve"> </w:t>
      </w:r>
      <w:r w:rsidRPr="001350F4">
        <w:t>19 Kasım 2022 tarihli ve 32018 sayılı Resmi Gazetede yayımlanan Yönetmelikle değiştirilmiştir.</w:t>
      </w:r>
    </w:p>
  </w:footnote>
  <w:footnote w:id="15">
    <w:p w14:paraId="6D32CA05" w14:textId="06EBB167" w:rsidR="00EF302F" w:rsidRDefault="00EF302F">
      <w:pPr>
        <w:pStyle w:val="FootnoteText"/>
      </w:pPr>
      <w:r>
        <w:rPr>
          <w:rStyle w:val="FootnoteReference"/>
        </w:rPr>
        <w:footnoteRef/>
      </w:r>
      <w:r>
        <w:t xml:space="preserve"> </w:t>
      </w:r>
      <w:r w:rsidRPr="00EF302F">
        <w:t>17 Aralık 2024 tarihli ve 32755 sayılı Resmi Gazetede yayımlanan Yönetmelikle değiştirilmiştir.</w:t>
      </w:r>
    </w:p>
  </w:footnote>
  <w:footnote w:id="16">
    <w:p w14:paraId="40B5196B" w14:textId="4A63EFA7" w:rsidR="00F33AFF" w:rsidRDefault="00F33AFF">
      <w:pPr>
        <w:pStyle w:val="FootnoteText"/>
      </w:pPr>
      <w:r>
        <w:rPr>
          <w:rStyle w:val="FootnoteReference"/>
        </w:rPr>
        <w:footnoteRef/>
      </w:r>
      <w:r>
        <w:t xml:space="preserve"> </w:t>
      </w:r>
      <w:r>
        <w:t xml:space="preserve">19 </w:t>
      </w:r>
      <w:r w:rsidRPr="001350F4">
        <w:t>Kasım 2022 tarihli ve 32018 sayılı Resmi Gazetede yayımlanan Yönetmelikle</w:t>
      </w:r>
      <w:r>
        <w:t xml:space="preserve"> eklenmiştir</w:t>
      </w:r>
      <w:r w:rsidRPr="001350F4">
        <w:t>.</w:t>
      </w:r>
    </w:p>
  </w:footnote>
  <w:footnote w:id="17">
    <w:p w14:paraId="11CD5C24" w14:textId="13FF630A" w:rsidR="00F33AFF" w:rsidRDefault="00F33AFF">
      <w:pPr>
        <w:pStyle w:val="FootnoteText"/>
      </w:pPr>
      <w:r>
        <w:rPr>
          <w:rStyle w:val="FootnoteReference"/>
        </w:rPr>
        <w:footnoteRef/>
      </w:r>
      <w:r>
        <w:t xml:space="preserve"> </w:t>
      </w:r>
      <w:r>
        <w:t xml:space="preserve">19 </w:t>
      </w:r>
      <w:r w:rsidRPr="001350F4">
        <w:t>Kasım 2022 tarihli ve 32018 sayılı Resmi Gazetede yayımlanan Yönetmelikle</w:t>
      </w:r>
      <w:r>
        <w:t xml:space="preserve"> eklenmiştir</w:t>
      </w:r>
      <w:r w:rsidRPr="001350F4">
        <w:t>.</w:t>
      </w:r>
    </w:p>
  </w:footnote>
  <w:footnote w:id="18">
    <w:p w14:paraId="45F03560" w14:textId="288FB603" w:rsidR="00F33AFF" w:rsidRDefault="00F33AFF">
      <w:pPr>
        <w:pStyle w:val="FootnoteText"/>
      </w:pPr>
      <w:r>
        <w:rPr>
          <w:rStyle w:val="FootnoteReference"/>
        </w:rPr>
        <w:footnoteRef/>
      </w:r>
      <w:r>
        <w:t xml:space="preserve"> 19 </w:t>
      </w:r>
      <w:r w:rsidRPr="001350F4">
        <w:t>Kasım 2022 tarihli ve 32018 sayılı Resmi Gazetede yayımlanan Yönetmelikle</w:t>
      </w:r>
      <w:r>
        <w:t xml:space="preserve"> eklenmiştir</w:t>
      </w:r>
      <w:r w:rsidRPr="001350F4">
        <w:t>.</w:t>
      </w:r>
    </w:p>
  </w:footnote>
  <w:footnote w:id="19">
    <w:p w14:paraId="45166EB5" w14:textId="783A8452" w:rsidR="00F33AFF" w:rsidRDefault="00F33AFF">
      <w:pPr>
        <w:pStyle w:val="FootnoteText"/>
      </w:pPr>
      <w:r>
        <w:rPr>
          <w:rStyle w:val="FootnoteReference"/>
        </w:rPr>
        <w:footnoteRef/>
      </w:r>
      <w:r>
        <w:t xml:space="preserve"> 19 </w:t>
      </w:r>
      <w:r w:rsidRPr="001350F4">
        <w:t>Kasım 2022 tarihli ve 32018 sayılı Resmi Gazetede yayımlanan Yönetmelikle</w:t>
      </w:r>
      <w:r>
        <w:t xml:space="preserve"> eklenmiştir</w:t>
      </w:r>
      <w:r w:rsidRPr="001350F4">
        <w:t>.</w:t>
      </w:r>
    </w:p>
  </w:footnote>
  <w:footnote w:id="20">
    <w:p w14:paraId="42765A22" w14:textId="73683977" w:rsidR="00F33AFF" w:rsidRDefault="00F33AFF">
      <w:pPr>
        <w:pStyle w:val="FootnoteText"/>
      </w:pPr>
      <w:r>
        <w:rPr>
          <w:rStyle w:val="FootnoteReference"/>
        </w:rPr>
        <w:footnoteRef/>
      </w:r>
      <w:r>
        <w:t xml:space="preserve"> </w:t>
      </w:r>
      <w:r w:rsidRPr="001350F4">
        <w:t>19 Kasım 2022 tarihli ve 32018 sayılı Resmi Gazetede yayımlanan Yönetmelikle</w:t>
      </w:r>
      <w:r>
        <w:t xml:space="preserve"> yürürlükten kaldırılmıştır.</w:t>
      </w:r>
    </w:p>
  </w:footnote>
  <w:footnote w:id="21">
    <w:p w14:paraId="1FB8C6AE" w14:textId="7250FEED" w:rsidR="00EF302F" w:rsidRDefault="00EF302F">
      <w:pPr>
        <w:pStyle w:val="FootnoteText"/>
      </w:pPr>
      <w:r>
        <w:rPr>
          <w:rStyle w:val="FootnoteReference"/>
        </w:rPr>
        <w:footnoteRef/>
      </w:r>
      <w:r>
        <w:t xml:space="preserve"> </w:t>
      </w:r>
      <w:r w:rsidRPr="00EF302F">
        <w:t>17 Aralık 2024 tarihli ve 32755 sayılı Resmi Gazetede yayımlanan Yönetmelikle değiştirilmiştir.</w:t>
      </w:r>
    </w:p>
  </w:footnote>
  <w:footnote w:id="22">
    <w:p w14:paraId="611CFC17" w14:textId="2C2AB832" w:rsidR="00A367C8" w:rsidRDefault="00A367C8">
      <w:pPr>
        <w:pStyle w:val="FootnoteText"/>
      </w:pPr>
      <w:r>
        <w:rPr>
          <w:rStyle w:val="FootnoteReference"/>
        </w:rPr>
        <w:footnoteRef/>
      </w:r>
      <w:r>
        <w:t xml:space="preserve"> </w:t>
      </w:r>
      <w:r w:rsidRPr="001350F4">
        <w:t>19 Kasım 2022 tarihli ve 32018 sayılı Resmi Gazetede yayımlanan Yönetmelikle değiştirilmiştir.</w:t>
      </w:r>
    </w:p>
  </w:footnote>
  <w:footnote w:id="23">
    <w:p w14:paraId="7D8B4263" w14:textId="3BCBAA98" w:rsidR="00A367C8" w:rsidRDefault="00A367C8">
      <w:pPr>
        <w:pStyle w:val="FootnoteText"/>
      </w:pPr>
      <w:r>
        <w:rPr>
          <w:rStyle w:val="FootnoteReference"/>
        </w:rPr>
        <w:footnoteRef/>
      </w:r>
      <w:r>
        <w:t xml:space="preserve"> </w:t>
      </w:r>
      <w:r w:rsidRPr="001350F4">
        <w:t>19 Kasım 2022 tarihli ve 32</w:t>
      </w:r>
      <w:r w:rsidR="00C5513A">
        <w:t>018 sayılı Resmi Gazete</w:t>
      </w:r>
      <w:r w:rsidRPr="001350F4">
        <w:t>de yayımlanan Yönetmelikle</w:t>
      </w:r>
      <w:r>
        <w:t xml:space="preserve"> yürürlükten kaldırılmıştır.</w:t>
      </w:r>
    </w:p>
  </w:footnote>
  <w:footnote w:id="24">
    <w:p w14:paraId="213441D1" w14:textId="2A296094" w:rsidR="004C0905" w:rsidRDefault="004C0905">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B7FC8" w14:textId="77777777" w:rsidR="007527B2" w:rsidRDefault="008F58E2">
    <w:pPr>
      <w:pStyle w:val="Header"/>
    </w:pPr>
    <w:r>
      <w:rPr>
        <w:noProof/>
        <w:lang w:eastAsia="tr-TR"/>
      </w:rPr>
      <mc:AlternateContent>
        <mc:Choice Requires="wps">
          <w:drawing>
            <wp:anchor distT="0" distB="0" distL="114300" distR="114300" simplePos="0" relativeHeight="251656704" behindDoc="1" locked="0" layoutInCell="0" allowOverlap="1" wp14:anchorId="33D014CB" wp14:editId="50BA8623">
              <wp:simplePos x="0" y="0"/>
              <wp:positionH relativeFrom="margin">
                <wp:align>center</wp:align>
              </wp:positionH>
              <wp:positionV relativeFrom="margin">
                <wp:align>center</wp:align>
              </wp:positionV>
              <wp:extent cx="6091555" cy="2030095"/>
              <wp:effectExtent l="0" t="1600200" r="0" b="1370330"/>
              <wp:wrapNone/>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1555" cy="20300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C3AB233" w14:textId="77777777" w:rsidR="008F58E2" w:rsidRDefault="008F58E2" w:rsidP="008F58E2">
                          <w:pPr>
                            <w:pStyle w:val="NormalWeb"/>
                            <w:spacing w:before="0" w:beforeAutospacing="0" w:after="0" w:afterAutospacing="0"/>
                            <w:jc w:val="center"/>
                          </w:pPr>
                          <w:r>
                            <w:rPr>
                              <w:color w:val="C0C0C0"/>
                              <w:sz w:val="2"/>
                              <w:szCs w:val="2"/>
                              <w14:textFill>
                                <w14:solidFill>
                                  <w14:srgbClr w14:val="C0C0C0">
                                    <w14:alpha w14:val="50000"/>
                                  </w14:srgbClr>
                                </w14:solidFill>
                              </w14:textFill>
                            </w:rPr>
                            <w:t>TASLAK</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3D014CB" id="_x0000_t202" coordsize="21600,21600" o:spt="202" path="m,l,21600r21600,l21600,xe">
              <v:stroke joinstyle="miter"/>
              <v:path gradientshapeok="t" o:connecttype="rect"/>
            </v:shapetype>
            <v:shape id="Metin Kutusu 2" o:spid="_x0000_s1026" type="#_x0000_t202" style="position:absolute;left:0;text-align:left;margin-left:0;margin-top:0;width:479.65pt;height:159.8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" o:allowincell="f" filled="f" stroked="f">
              <v:stroke joinstyle="round"/>
              <o:lock v:ext="edit" shapetype="t"/>
              <v:textbox style="mso-fit-shape-to-text:t">
                <w:txbxContent>
                  <w:p w14:paraId="7C3AB233" w14:textId="77777777" w:rsidR="008F58E2" w:rsidRDefault="008F58E2" w:rsidP="008F58E2">
                    <w:pPr>
                      <w:pStyle w:val="NormalWeb"/>
                      <w:spacing w:before="0" w:beforeAutospacing="0" w:after="0" w:afterAutospacing="0"/>
                      <w:jc w:val="center"/>
                    </w:pPr>
                    <w:r>
                      <w:rPr>
                        <w:color w:val="C0C0C0"/>
                        <w:sz w:val="2"/>
                        <w:szCs w:val="2"/>
                        <w14:textFill>
                          <w14:solidFill>
                            <w14:srgbClr w14:val="C0C0C0">
                              <w14:alpha w14:val="50000"/>
                            </w14:srgbClr>
                          </w14:solidFill>
                        </w14:textFill>
                      </w:rPr>
                      <w:t>TASLAK</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15636" w14:textId="7A600924" w:rsidR="007527B2" w:rsidRDefault="000A2AF7">
    <w:pPr>
      <w:pStyle w:val="Header"/>
    </w:pPr>
    <w:r>
      <w:rPr>
        <w:highlight w:val="yellow"/>
      </w:rPr>
      <w:t>9 Mayıs 2021 tarihli ve 31479 sayılı Resmi Gazete</w:t>
    </w:r>
    <w:r w:rsidR="008F58E2">
      <w:rPr>
        <w:noProof/>
        <w:lang w:eastAsia="tr-TR"/>
      </w:rPr>
      <mc:AlternateContent>
        <mc:Choice Requires="wps">
          <w:drawing>
            <wp:anchor distT="0" distB="0" distL="114300" distR="114300" simplePos="0" relativeHeight="251657728" behindDoc="1" locked="0" layoutInCell="0" allowOverlap="1" wp14:anchorId="1EB8D71E" wp14:editId="34214AAE">
              <wp:simplePos x="0" y="0"/>
              <wp:positionH relativeFrom="margin">
                <wp:align>center</wp:align>
              </wp:positionH>
              <wp:positionV relativeFrom="margin">
                <wp:align>center</wp:align>
              </wp:positionV>
              <wp:extent cx="6091555" cy="2030095"/>
              <wp:effectExtent l="0" t="1600200" r="0" b="1370330"/>
              <wp:wrapNone/>
              <wp:docPr id="1"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1555" cy="20300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AB7740" w14:textId="77777777" w:rsidR="008F58E2" w:rsidRDefault="008F58E2" w:rsidP="008F58E2">
                          <w:pPr>
                            <w:pStyle w:val="NormalWeb"/>
                            <w:spacing w:before="0" w:beforeAutospacing="0" w:after="0" w:afterAutospacing="0"/>
                            <w:jc w:val="center"/>
                          </w:pPr>
                          <w:r>
                            <w:rPr>
                              <w:color w:val="C0C0C0"/>
                              <w:sz w:val="2"/>
                              <w:szCs w:val="2"/>
                              <w14:textFill>
                                <w14:solidFill>
                                  <w14:srgbClr w14:val="C0C0C0">
                                    <w14:alpha w14:val="50000"/>
                                  </w14:srgbClr>
                                </w14:solidFill>
                              </w14:textFill>
                            </w:rPr>
                            <w:t>TASLAK</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B8D71E" id="_x0000_t202" coordsize="21600,21600" o:spt="202" path="m,l,21600r21600,l21600,xe">
              <v:stroke joinstyle="miter"/>
              <v:path gradientshapeok="t" o:connecttype="rect"/>
            </v:shapetype>
            <v:shape id="Metin Kutusu 1" o:spid="_x0000_s1027" type="#_x0000_t202" style="position:absolute;left:0;text-align:left;margin-left:0;margin-top:0;width:479.65pt;height:159.8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" o:allowincell="f" filled="f" stroked="f">
              <v:stroke joinstyle="round"/>
              <o:lock v:ext="edit" shapetype="t"/>
              <v:textbox style="mso-fit-shape-to-text:t">
                <w:txbxContent>
                  <w:p w14:paraId="2EAB7740" w14:textId="77777777" w:rsidR="008F58E2" w:rsidRDefault="008F58E2" w:rsidP="008F58E2">
                    <w:pPr>
                      <w:pStyle w:val="NormalWeb"/>
                      <w:spacing w:before="0" w:beforeAutospacing="0" w:after="0" w:afterAutospacing="0"/>
                      <w:jc w:val="center"/>
                    </w:pPr>
                    <w:r>
                      <w:rPr>
                        <w:color w:val="C0C0C0"/>
                        <w:sz w:val="2"/>
                        <w:szCs w:val="2"/>
                        <w14:textFill>
                          <w14:solidFill>
                            <w14:srgbClr w14:val="C0C0C0">
                              <w14:alpha w14:val="50000"/>
                            </w14:srgbClr>
                          </w14:solidFill>
                        </w14:textFill>
                      </w:rPr>
                      <w:t>TASLAK</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D2B34" w14:textId="77777777" w:rsidR="000A2AF7" w:rsidRDefault="000A2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774A0"/>
    <w:multiLevelType w:val="hybridMultilevel"/>
    <w:tmpl w:val="E3049F6C"/>
    <w:lvl w:ilvl="0" w:tplc="D3AE50EC">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168"/>
    <w:rsid w:val="00005631"/>
    <w:rsid w:val="0000778B"/>
    <w:rsid w:val="00011249"/>
    <w:rsid w:val="000112F4"/>
    <w:rsid w:val="00014EF9"/>
    <w:rsid w:val="00023043"/>
    <w:rsid w:val="00040CC0"/>
    <w:rsid w:val="000473CD"/>
    <w:rsid w:val="0006349D"/>
    <w:rsid w:val="00073C3E"/>
    <w:rsid w:val="000926C6"/>
    <w:rsid w:val="000927FF"/>
    <w:rsid w:val="000A2AF7"/>
    <w:rsid w:val="000B5253"/>
    <w:rsid w:val="000B59E8"/>
    <w:rsid w:val="000B5FB9"/>
    <w:rsid w:val="000C55EC"/>
    <w:rsid w:val="000E32C8"/>
    <w:rsid w:val="000F1C52"/>
    <w:rsid w:val="000F6E18"/>
    <w:rsid w:val="000F736D"/>
    <w:rsid w:val="00104031"/>
    <w:rsid w:val="001055EF"/>
    <w:rsid w:val="00116EF4"/>
    <w:rsid w:val="00122EA1"/>
    <w:rsid w:val="001331EB"/>
    <w:rsid w:val="001350F4"/>
    <w:rsid w:val="001355FF"/>
    <w:rsid w:val="00145788"/>
    <w:rsid w:val="00145EDC"/>
    <w:rsid w:val="00173457"/>
    <w:rsid w:val="00180F53"/>
    <w:rsid w:val="00181BCE"/>
    <w:rsid w:val="00185168"/>
    <w:rsid w:val="00192C61"/>
    <w:rsid w:val="0019630E"/>
    <w:rsid w:val="001A102E"/>
    <w:rsid w:val="001A2C5C"/>
    <w:rsid w:val="001B0A98"/>
    <w:rsid w:val="0020117C"/>
    <w:rsid w:val="00205096"/>
    <w:rsid w:val="00214110"/>
    <w:rsid w:val="00227FA1"/>
    <w:rsid w:val="002470FB"/>
    <w:rsid w:val="002472B4"/>
    <w:rsid w:val="0025034D"/>
    <w:rsid w:val="002631B5"/>
    <w:rsid w:val="002730B8"/>
    <w:rsid w:val="00281EFE"/>
    <w:rsid w:val="002834A6"/>
    <w:rsid w:val="00286268"/>
    <w:rsid w:val="002950A1"/>
    <w:rsid w:val="00295377"/>
    <w:rsid w:val="002D41BE"/>
    <w:rsid w:val="002F708E"/>
    <w:rsid w:val="00314787"/>
    <w:rsid w:val="003327BE"/>
    <w:rsid w:val="00336476"/>
    <w:rsid w:val="00336EFD"/>
    <w:rsid w:val="00340135"/>
    <w:rsid w:val="0034575C"/>
    <w:rsid w:val="00361A8C"/>
    <w:rsid w:val="003652D1"/>
    <w:rsid w:val="003777B5"/>
    <w:rsid w:val="003A306A"/>
    <w:rsid w:val="003B1D3A"/>
    <w:rsid w:val="003D27FB"/>
    <w:rsid w:val="003D42D0"/>
    <w:rsid w:val="003E5852"/>
    <w:rsid w:val="003E5A4D"/>
    <w:rsid w:val="0040490B"/>
    <w:rsid w:val="0040788B"/>
    <w:rsid w:val="0042002D"/>
    <w:rsid w:val="00421A20"/>
    <w:rsid w:val="00423DD5"/>
    <w:rsid w:val="004242A1"/>
    <w:rsid w:val="00427330"/>
    <w:rsid w:val="0043350C"/>
    <w:rsid w:val="00440952"/>
    <w:rsid w:val="00444B20"/>
    <w:rsid w:val="00454F35"/>
    <w:rsid w:val="00462015"/>
    <w:rsid w:val="00464838"/>
    <w:rsid w:val="004866FE"/>
    <w:rsid w:val="00490B8E"/>
    <w:rsid w:val="004935D7"/>
    <w:rsid w:val="00495740"/>
    <w:rsid w:val="004A41F1"/>
    <w:rsid w:val="004B1063"/>
    <w:rsid w:val="004B2666"/>
    <w:rsid w:val="004B7846"/>
    <w:rsid w:val="004C0905"/>
    <w:rsid w:val="004C097D"/>
    <w:rsid w:val="004D7FEB"/>
    <w:rsid w:val="004E7490"/>
    <w:rsid w:val="004F0432"/>
    <w:rsid w:val="004F596C"/>
    <w:rsid w:val="004F7E3D"/>
    <w:rsid w:val="00506941"/>
    <w:rsid w:val="00514108"/>
    <w:rsid w:val="00526C7F"/>
    <w:rsid w:val="00541895"/>
    <w:rsid w:val="00561D56"/>
    <w:rsid w:val="005674D2"/>
    <w:rsid w:val="005811AE"/>
    <w:rsid w:val="00583EAB"/>
    <w:rsid w:val="00587EC7"/>
    <w:rsid w:val="005914B4"/>
    <w:rsid w:val="0059752E"/>
    <w:rsid w:val="005A5E5C"/>
    <w:rsid w:val="005A6ADF"/>
    <w:rsid w:val="005B602F"/>
    <w:rsid w:val="005D1A2E"/>
    <w:rsid w:val="005D42BD"/>
    <w:rsid w:val="005E04E7"/>
    <w:rsid w:val="005F66C8"/>
    <w:rsid w:val="006026CE"/>
    <w:rsid w:val="00602FC5"/>
    <w:rsid w:val="0062197A"/>
    <w:rsid w:val="00624329"/>
    <w:rsid w:val="0062528B"/>
    <w:rsid w:val="0063088F"/>
    <w:rsid w:val="00641A47"/>
    <w:rsid w:val="00653FDD"/>
    <w:rsid w:val="00654EC2"/>
    <w:rsid w:val="006631B6"/>
    <w:rsid w:val="00666D8C"/>
    <w:rsid w:val="00667ECE"/>
    <w:rsid w:val="0067629A"/>
    <w:rsid w:val="00683260"/>
    <w:rsid w:val="00694369"/>
    <w:rsid w:val="00694980"/>
    <w:rsid w:val="00696580"/>
    <w:rsid w:val="006B4284"/>
    <w:rsid w:val="006C3359"/>
    <w:rsid w:val="006D1B14"/>
    <w:rsid w:val="006D4B94"/>
    <w:rsid w:val="006F27C0"/>
    <w:rsid w:val="0070141E"/>
    <w:rsid w:val="00702FE5"/>
    <w:rsid w:val="00710CCE"/>
    <w:rsid w:val="00710DF0"/>
    <w:rsid w:val="0071372C"/>
    <w:rsid w:val="007244BD"/>
    <w:rsid w:val="00747623"/>
    <w:rsid w:val="007527B2"/>
    <w:rsid w:val="0077128D"/>
    <w:rsid w:val="00772107"/>
    <w:rsid w:val="007722B1"/>
    <w:rsid w:val="007827B8"/>
    <w:rsid w:val="00783AA4"/>
    <w:rsid w:val="00787F0C"/>
    <w:rsid w:val="007925A1"/>
    <w:rsid w:val="007A2729"/>
    <w:rsid w:val="007A5AC9"/>
    <w:rsid w:val="007A6BE7"/>
    <w:rsid w:val="007B451F"/>
    <w:rsid w:val="007C490E"/>
    <w:rsid w:val="007D4135"/>
    <w:rsid w:val="007E51F7"/>
    <w:rsid w:val="007E59A2"/>
    <w:rsid w:val="0080017E"/>
    <w:rsid w:val="00802227"/>
    <w:rsid w:val="00827E3F"/>
    <w:rsid w:val="00836CCB"/>
    <w:rsid w:val="008454DB"/>
    <w:rsid w:val="00850CD4"/>
    <w:rsid w:val="0085317E"/>
    <w:rsid w:val="008710A7"/>
    <w:rsid w:val="00873411"/>
    <w:rsid w:val="00876209"/>
    <w:rsid w:val="00877C51"/>
    <w:rsid w:val="00893F43"/>
    <w:rsid w:val="008973C1"/>
    <w:rsid w:val="008A7BEA"/>
    <w:rsid w:val="008B2835"/>
    <w:rsid w:val="008C25AC"/>
    <w:rsid w:val="008C58FB"/>
    <w:rsid w:val="008C7CCC"/>
    <w:rsid w:val="008D0178"/>
    <w:rsid w:val="008D468B"/>
    <w:rsid w:val="008D4A4F"/>
    <w:rsid w:val="008E2A56"/>
    <w:rsid w:val="008E49B7"/>
    <w:rsid w:val="008F3B20"/>
    <w:rsid w:val="008F58E2"/>
    <w:rsid w:val="00903CF8"/>
    <w:rsid w:val="00907CB5"/>
    <w:rsid w:val="00922EEE"/>
    <w:rsid w:val="009239AA"/>
    <w:rsid w:val="009247DF"/>
    <w:rsid w:val="00924D6E"/>
    <w:rsid w:val="00926813"/>
    <w:rsid w:val="00937028"/>
    <w:rsid w:val="00951F2E"/>
    <w:rsid w:val="00955DBF"/>
    <w:rsid w:val="00962945"/>
    <w:rsid w:val="00973268"/>
    <w:rsid w:val="0098150E"/>
    <w:rsid w:val="0098682A"/>
    <w:rsid w:val="00986E23"/>
    <w:rsid w:val="0099057D"/>
    <w:rsid w:val="00991453"/>
    <w:rsid w:val="00991ED5"/>
    <w:rsid w:val="00994FFE"/>
    <w:rsid w:val="009A4E4F"/>
    <w:rsid w:val="009B3E97"/>
    <w:rsid w:val="009B55A0"/>
    <w:rsid w:val="009C0F7B"/>
    <w:rsid w:val="009C34D2"/>
    <w:rsid w:val="009D26C4"/>
    <w:rsid w:val="009D68EF"/>
    <w:rsid w:val="009F5C62"/>
    <w:rsid w:val="009F7885"/>
    <w:rsid w:val="00A17DEF"/>
    <w:rsid w:val="00A229A5"/>
    <w:rsid w:val="00A22D1F"/>
    <w:rsid w:val="00A26479"/>
    <w:rsid w:val="00A3611F"/>
    <w:rsid w:val="00A367C8"/>
    <w:rsid w:val="00A372EC"/>
    <w:rsid w:val="00A50D4B"/>
    <w:rsid w:val="00A544E3"/>
    <w:rsid w:val="00A71666"/>
    <w:rsid w:val="00A7490F"/>
    <w:rsid w:val="00A85D2E"/>
    <w:rsid w:val="00A87BD1"/>
    <w:rsid w:val="00A87DF5"/>
    <w:rsid w:val="00A928A3"/>
    <w:rsid w:val="00AB623F"/>
    <w:rsid w:val="00AC0C81"/>
    <w:rsid w:val="00AC1757"/>
    <w:rsid w:val="00AC7FB8"/>
    <w:rsid w:val="00AD2337"/>
    <w:rsid w:val="00AD6CA6"/>
    <w:rsid w:val="00AE056F"/>
    <w:rsid w:val="00AF329B"/>
    <w:rsid w:val="00B179C2"/>
    <w:rsid w:val="00B247AC"/>
    <w:rsid w:val="00B44F85"/>
    <w:rsid w:val="00B556D7"/>
    <w:rsid w:val="00B57D77"/>
    <w:rsid w:val="00B634E4"/>
    <w:rsid w:val="00B663FD"/>
    <w:rsid w:val="00B66E51"/>
    <w:rsid w:val="00B77162"/>
    <w:rsid w:val="00B80FB7"/>
    <w:rsid w:val="00B81875"/>
    <w:rsid w:val="00B90A23"/>
    <w:rsid w:val="00B97519"/>
    <w:rsid w:val="00BA13EE"/>
    <w:rsid w:val="00BB21CC"/>
    <w:rsid w:val="00BB27FB"/>
    <w:rsid w:val="00BC5E95"/>
    <w:rsid w:val="00BE4F5D"/>
    <w:rsid w:val="00BF2C34"/>
    <w:rsid w:val="00BF3FF7"/>
    <w:rsid w:val="00C20974"/>
    <w:rsid w:val="00C50EB9"/>
    <w:rsid w:val="00C5513A"/>
    <w:rsid w:val="00C65E88"/>
    <w:rsid w:val="00C6601E"/>
    <w:rsid w:val="00C72F99"/>
    <w:rsid w:val="00C74600"/>
    <w:rsid w:val="00C81C6A"/>
    <w:rsid w:val="00C919E9"/>
    <w:rsid w:val="00C921D5"/>
    <w:rsid w:val="00CA07A0"/>
    <w:rsid w:val="00CA22C9"/>
    <w:rsid w:val="00CA243B"/>
    <w:rsid w:val="00CD1819"/>
    <w:rsid w:val="00CD4CA3"/>
    <w:rsid w:val="00D02EC0"/>
    <w:rsid w:val="00D0331E"/>
    <w:rsid w:val="00D076E5"/>
    <w:rsid w:val="00D23D7C"/>
    <w:rsid w:val="00D44F9C"/>
    <w:rsid w:val="00D47308"/>
    <w:rsid w:val="00D8209D"/>
    <w:rsid w:val="00D9186C"/>
    <w:rsid w:val="00DA7423"/>
    <w:rsid w:val="00DB0EA7"/>
    <w:rsid w:val="00DB1460"/>
    <w:rsid w:val="00DC26FD"/>
    <w:rsid w:val="00DD5993"/>
    <w:rsid w:val="00E05155"/>
    <w:rsid w:val="00E21DBB"/>
    <w:rsid w:val="00E24DC3"/>
    <w:rsid w:val="00E25A02"/>
    <w:rsid w:val="00E34557"/>
    <w:rsid w:val="00E439C9"/>
    <w:rsid w:val="00E46E0B"/>
    <w:rsid w:val="00E53C85"/>
    <w:rsid w:val="00E64558"/>
    <w:rsid w:val="00E66778"/>
    <w:rsid w:val="00E73507"/>
    <w:rsid w:val="00E80546"/>
    <w:rsid w:val="00E91AEE"/>
    <w:rsid w:val="00E92726"/>
    <w:rsid w:val="00EB6BB3"/>
    <w:rsid w:val="00EC0BA4"/>
    <w:rsid w:val="00EC6B5F"/>
    <w:rsid w:val="00ED14D5"/>
    <w:rsid w:val="00ED3529"/>
    <w:rsid w:val="00EE13C1"/>
    <w:rsid w:val="00EF08F1"/>
    <w:rsid w:val="00EF302F"/>
    <w:rsid w:val="00EF789F"/>
    <w:rsid w:val="00F128D6"/>
    <w:rsid w:val="00F25FF0"/>
    <w:rsid w:val="00F32941"/>
    <w:rsid w:val="00F33AFF"/>
    <w:rsid w:val="00F34BB6"/>
    <w:rsid w:val="00F3726E"/>
    <w:rsid w:val="00F75A63"/>
    <w:rsid w:val="00F91C92"/>
    <w:rsid w:val="00FA66B5"/>
    <w:rsid w:val="00FB09C0"/>
    <w:rsid w:val="00FB1087"/>
    <w:rsid w:val="00FC5F4A"/>
    <w:rsid w:val="00FD06F7"/>
    <w:rsid w:val="00FD53F2"/>
    <w:rsid w:val="00FD5D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5139F"/>
  <w15:chartTrackingRefBased/>
  <w15:docId w15:val="{707990FA-87AE-407C-9440-618FD2DB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tr-TR"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A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A4F"/>
    <w:rPr>
      <w:rFonts w:ascii="Segoe UI" w:hAnsi="Segoe UI" w:cs="Segoe UI"/>
      <w:sz w:val="18"/>
      <w:szCs w:val="18"/>
    </w:rPr>
  </w:style>
  <w:style w:type="character" w:styleId="CommentReference">
    <w:name w:val="annotation reference"/>
    <w:basedOn w:val="DefaultParagraphFont"/>
    <w:uiPriority w:val="99"/>
    <w:semiHidden/>
    <w:unhideWhenUsed/>
    <w:rsid w:val="008D4A4F"/>
    <w:rPr>
      <w:sz w:val="16"/>
      <w:szCs w:val="16"/>
    </w:rPr>
  </w:style>
  <w:style w:type="paragraph" w:styleId="CommentText">
    <w:name w:val="annotation text"/>
    <w:basedOn w:val="Normal"/>
    <w:link w:val="CommentTextChar"/>
    <w:uiPriority w:val="99"/>
    <w:semiHidden/>
    <w:unhideWhenUsed/>
    <w:rsid w:val="008D4A4F"/>
    <w:pPr>
      <w:spacing w:line="240" w:lineRule="auto"/>
    </w:pPr>
    <w:rPr>
      <w:sz w:val="20"/>
      <w:szCs w:val="20"/>
    </w:rPr>
  </w:style>
  <w:style w:type="character" w:customStyle="1" w:styleId="CommentTextChar">
    <w:name w:val="Comment Text Char"/>
    <w:basedOn w:val="DefaultParagraphFont"/>
    <w:link w:val="CommentText"/>
    <w:uiPriority w:val="99"/>
    <w:semiHidden/>
    <w:rsid w:val="008D4A4F"/>
    <w:rPr>
      <w:sz w:val="20"/>
      <w:szCs w:val="20"/>
    </w:rPr>
  </w:style>
  <w:style w:type="paragraph" w:styleId="Header">
    <w:name w:val="header"/>
    <w:basedOn w:val="Normal"/>
    <w:link w:val="HeaderChar"/>
    <w:uiPriority w:val="99"/>
    <w:unhideWhenUsed/>
    <w:rsid w:val="007527B2"/>
    <w:pPr>
      <w:tabs>
        <w:tab w:val="center" w:pos="4536"/>
        <w:tab w:val="right" w:pos="9072"/>
      </w:tabs>
      <w:spacing w:line="240" w:lineRule="auto"/>
    </w:pPr>
  </w:style>
  <w:style w:type="character" w:customStyle="1" w:styleId="HeaderChar">
    <w:name w:val="Header Char"/>
    <w:basedOn w:val="DefaultParagraphFont"/>
    <w:link w:val="Header"/>
    <w:uiPriority w:val="99"/>
    <w:rsid w:val="007527B2"/>
  </w:style>
  <w:style w:type="paragraph" w:styleId="Footer">
    <w:name w:val="footer"/>
    <w:basedOn w:val="Normal"/>
    <w:link w:val="FooterChar"/>
    <w:uiPriority w:val="99"/>
    <w:unhideWhenUsed/>
    <w:rsid w:val="007527B2"/>
    <w:pPr>
      <w:tabs>
        <w:tab w:val="center" w:pos="4536"/>
        <w:tab w:val="right" w:pos="9072"/>
      </w:tabs>
      <w:spacing w:line="240" w:lineRule="auto"/>
    </w:pPr>
  </w:style>
  <w:style w:type="character" w:customStyle="1" w:styleId="FooterChar">
    <w:name w:val="Footer Char"/>
    <w:basedOn w:val="DefaultParagraphFont"/>
    <w:link w:val="Footer"/>
    <w:uiPriority w:val="99"/>
    <w:rsid w:val="007527B2"/>
  </w:style>
  <w:style w:type="paragraph" w:styleId="ListParagraph">
    <w:name w:val="List Paragraph"/>
    <w:basedOn w:val="Normal"/>
    <w:uiPriority w:val="34"/>
    <w:qFormat/>
    <w:rsid w:val="00FB09C0"/>
    <w:pPr>
      <w:ind w:left="720"/>
      <w:contextualSpacing/>
    </w:pPr>
  </w:style>
  <w:style w:type="paragraph" w:styleId="NormalWeb">
    <w:name w:val="Normal (Web)"/>
    <w:basedOn w:val="Normal"/>
    <w:uiPriority w:val="99"/>
    <w:semiHidden/>
    <w:unhideWhenUsed/>
    <w:rsid w:val="008F58E2"/>
    <w:pPr>
      <w:spacing w:before="100" w:beforeAutospacing="1" w:after="100" w:afterAutospacing="1" w:line="240" w:lineRule="auto"/>
      <w:jc w:val="left"/>
    </w:pPr>
    <w:rPr>
      <w:rFonts w:eastAsiaTheme="minorEastAsia"/>
      <w:lang w:eastAsia="tr-TR"/>
    </w:rPr>
  </w:style>
  <w:style w:type="paragraph" w:styleId="CommentSubject">
    <w:name w:val="annotation subject"/>
    <w:basedOn w:val="CommentText"/>
    <w:next w:val="CommentText"/>
    <w:link w:val="CommentSubjectChar"/>
    <w:uiPriority w:val="99"/>
    <w:semiHidden/>
    <w:unhideWhenUsed/>
    <w:rsid w:val="000B5253"/>
    <w:rPr>
      <w:b/>
      <w:bCs/>
    </w:rPr>
  </w:style>
  <w:style w:type="character" w:customStyle="1" w:styleId="CommentSubjectChar">
    <w:name w:val="Comment Subject Char"/>
    <w:basedOn w:val="CommentTextChar"/>
    <w:link w:val="CommentSubject"/>
    <w:uiPriority w:val="99"/>
    <w:semiHidden/>
    <w:rsid w:val="000B5253"/>
    <w:rPr>
      <w:b/>
      <w:bCs/>
      <w:sz w:val="20"/>
      <w:szCs w:val="20"/>
    </w:rPr>
  </w:style>
  <w:style w:type="paragraph" w:styleId="FootnoteText">
    <w:name w:val="footnote text"/>
    <w:basedOn w:val="Normal"/>
    <w:link w:val="FootnoteTextChar"/>
    <w:uiPriority w:val="99"/>
    <w:semiHidden/>
    <w:unhideWhenUsed/>
    <w:rsid w:val="001350F4"/>
    <w:pPr>
      <w:spacing w:line="240" w:lineRule="auto"/>
    </w:pPr>
    <w:rPr>
      <w:sz w:val="20"/>
      <w:szCs w:val="20"/>
    </w:rPr>
  </w:style>
  <w:style w:type="character" w:customStyle="1" w:styleId="FootnoteTextChar">
    <w:name w:val="Footnote Text Char"/>
    <w:basedOn w:val="DefaultParagraphFont"/>
    <w:link w:val="FootnoteText"/>
    <w:uiPriority w:val="99"/>
    <w:semiHidden/>
    <w:rsid w:val="001350F4"/>
    <w:rPr>
      <w:sz w:val="20"/>
      <w:szCs w:val="20"/>
    </w:rPr>
  </w:style>
  <w:style w:type="character" w:styleId="FootnoteReference">
    <w:name w:val="footnote reference"/>
    <w:basedOn w:val="DefaultParagraphFont"/>
    <w:uiPriority w:val="99"/>
    <w:semiHidden/>
    <w:unhideWhenUsed/>
    <w:rsid w:val="001350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19905">
      <w:bodyDiv w:val="1"/>
      <w:marLeft w:val="0"/>
      <w:marRight w:val="0"/>
      <w:marTop w:val="0"/>
      <w:marBottom w:val="0"/>
      <w:divBdr>
        <w:top w:val="none" w:sz="0" w:space="0" w:color="auto"/>
        <w:left w:val="none" w:sz="0" w:space="0" w:color="auto"/>
        <w:bottom w:val="none" w:sz="0" w:space="0" w:color="auto"/>
        <w:right w:val="none" w:sz="0" w:space="0" w:color="auto"/>
      </w:divBdr>
    </w:div>
    <w:div w:id="595359937">
      <w:bodyDiv w:val="1"/>
      <w:marLeft w:val="0"/>
      <w:marRight w:val="0"/>
      <w:marTop w:val="0"/>
      <w:marBottom w:val="0"/>
      <w:divBdr>
        <w:top w:val="none" w:sz="0" w:space="0" w:color="auto"/>
        <w:left w:val="none" w:sz="0" w:space="0" w:color="auto"/>
        <w:bottom w:val="none" w:sz="0" w:space="0" w:color="auto"/>
        <w:right w:val="none" w:sz="0" w:space="0" w:color="auto"/>
      </w:divBdr>
    </w:div>
    <w:div w:id="1771046836">
      <w:bodyDiv w:val="1"/>
      <w:marLeft w:val="0"/>
      <w:marRight w:val="0"/>
      <w:marTop w:val="0"/>
      <w:marBottom w:val="0"/>
      <w:divBdr>
        <w:top w:val="none" w:sz="0" w:space="0" w:color="auto"/>
        <w:left w:val="none" w:sz="0" w:space="0" w:color="auto"/>
        <w:bottom w:val="none" w:sz="0" w:space="0" w:color="auto"/>
        <w:right w:val="none" w:sz="0" w:space="0" w:color="auto"/>
      </w:divBdr>
    </w:div>
    <w:div w:id="209508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8AF01-8950-411C-BFF0-7C3DC4487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1836</Words>
  <Characters>10468</Characters>
  <Application>Microsoft Office Word</Application>
  <DocSecurity>0</DocSecurity>
  <Lines>87</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NURULLAH ÇAKMAK</dc:creator>
  <cp:keywords/>
  <dc:description/>
  <cp:lastModifiedBy>Onur UYANUSTA</cp:lastModifiedBy>
  <cp:revision>3</cp:revision>
  <cp:lastPrinted>2021-04-28T10:10:00Z</cp:lastPrinted>
  <dcterms:created xsi:type="dcterms:W3CDTF">2025-01-30T07:25:00Z</dcterms:created>
  <dcterms:modified xsi:type="dcterms:W3CDTF">2025-01-30T11:27:00Z</dcterms:modified>
</cp:coreProperties>
</file>