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TRƯỜNG ĐẠI HỌC BÁCH KHOA</w:t>
      </w:r>
      <w:r>
        <w:t xml:space="preserve"> </w:t>
      </w:r>
      <w:r>
        <w:t xml:space="preserve">—————</w:t>
      </w:r>
    </w:p>
    <w:p>
      <w:pPr>
        <w:pStyle w:val="BodyText"/>
      </w:pPr>
      <w:r>
        <w:t xml:space="preserve">CỘNG HÒA XÃ HỘI CHỦ NGHĨA VIỆT NAM</w:t>
      </w:r>
      <w:r>
        <w:t xml:space="preserve"> </w:t>
      </w:r>
      <w:r>
        <w:t xml:space="preserve">Độc lập - Tự do - Hạnh phúc</w:t>
      </w:r>
      <w:r>
        <w:t xml:space="preserve"> </w:t>
      </w:r>
      <w:r>
        <w:t xml:space="preserve">—————————</w:t>
      </w:r>
    </w:p>
    <w:p>
      <w:pPr>
        <w:pStyle w:val="BodyText"/>
      </w:pPr>
      <w:r>
        <w:t xml:space="preserve">Thành phố Hồ Chí Minh, ngày 11 tháng 6 năm 2026</w:t>
      </w:r>
    </w:p>
    <w:p>
      <w:pPr>
        <w:pStyle w:val="BodyText"/>
      </w:pPr>
      <w:r>
        <w:t xml:space="preserve">KẾ HOẠCH TỔ CHỨC NGHIÊN CỨU KHOA HỌC</w:t>
      </w:r>
      <w:r>
        <w:t xml:space="preserve">VÀ ĐỔI MỚI SÁNG TẠO CẤP SINH VIÊN 2026</w:t>
      </w:r>
    </w:p>
    <w:p>
      <w:pPr>
        <w:pStyle w:val="BodyText"/>
      </w:pPr>
      <w:r>
        <w:rPr>
          <w:i/>
          <w:iCs/>
        </w:rPr>
        <w:t xml:space="preserve">Lưu ý: Báo cáo được tổng hợp dựa trên kế hoạch và đề xuất thực tế từ 10 Khoa chuyên môn trực thuộc Trường Đại học Bách khoa - ĐHQG-HCM.</w:t>
      </w:r>
    </w:p>
    <w:p>
      <w:r>
        <w:pict>
          <v:rect style="width:0;height:1.5pt" o:hralign="center" o:hrstd="t" o:hr="t"/>
        </w:pict>
      </w:r>
    </w:p>
    <w:bookmarkStart w:id="9" w:name="X6d8def8698a5c5b945d6ee9ec0a4378cc993bfb"/>
    <w:p>
      <w:pPr>
        <w:pStyle w:val="Heading2"/>
      </w:pPr>
      <w:r>
        <w:t xml:space="preserve">I. TỔNG QUAN VÀ KẾ HOẠCH TRIỂN KHAI CỦA CÁC KHOA</w:t>
      </w:r>
    </w:p>
    <w:p>
      <w:pPr>
        <w:pStyle w:val="FirstParagraph"/>
      </w:pPr>
      <w:r>
        <w:t xml:space="preserve">Dưới đây là tóm tắt định hướng chi tiết và lộ trình triển khai hoạt động Nghiên cứu Khoa học và Đổi mới Sáng tạo (NCKH &amp; ĐMST) cấp sinh viên của 10 khoa chuyên môn thuộc trường trong chu kỳ 12 tháng (từ tháng 6/2026 đến tháng 5/2027):</w:t>
      </w:r>
    </w:p>
    <w:p>
      <w:pPr>
        <w:pStyle w:val="BodyText"/>
      </w:pPr>
      <w:r>
        <w:rPr>
          <w:b/>
          <w:bCs/>
        </w:rPr>
        <w:t xml:space="preserve">1. Khoa Cơ khí</w:t>
      </w:r>
    </w:p>
    <w:p>
      <w:pPr>
        <w:pStyle w:val="Compact"/>
        <w:numPr>
          <w:ilvl w:val="0"/>
          <w:numId w:val="1001"/>
        </w:numPr>
      </w:pPr>
      <w:r>
        <w:rPr>
          <w:b/>
          <w:bCs/>
        </w:rPr>
        <w:t xml:space="preserve">Mục tiêu và Tờ trình</w:t>
      </w:r>
      <w:r>
        <w:t xml:space="preserve">: Thực hiện theo Tờ trình số 151/TTr-ĐHBK ngày 05/06/2026, Khoa triển khai kế hoạch thí điểm 12 tháng nhằm thiết lập quy trình tổ chức NCKH sinh viên chuẩn hóa, làm tiền đề nhân rộng và lặp lại hiệu quả từ năm 2027.</w:t>
      </w:r>
    </w:p>
    <w:p>
      <w:pPr>
        <w:pStyle w:val="Compact"/>
        <w:numPr>
          <w:ilvl w:val="0"/>
          <w:numId w:val="1001"/>
        </w:numPr>
      </w:pPr>
      <w:r>
        <w:rPr>
          <w:b/>
          <w:bCs/>
        </w:rPr>
        <w:t xml:space="preserve">Định hướng chuyên môn</w:t>
      </w:r>
      <w:r>
        <w:t xml:space="preserve">: Khoa tập trung huy động đông đảo lực lượng giảng viên hướng dẫn để hình thành các nhóm nghiên cứu nòng cốt, tạo tính kế thừa sản phẩm giữa các thế hệ sinh viên thay vì triển khai rời rạc. Kết quả nghiên cứu được hệ thống hóa làm minh chứng phục vụ kiểm định chất lượng đào tạo và làm nguồn sản phẩm tham gia các cuộc thi học thuật lớn.</w:t>
      </w:r>
    </w:p>
    <w:p>
      <w:pPr>
        <w:pStyle w:val="Compact"/>
        <w:numPr>
          <w:ilvl w:val="0"/>
          <w:numId w:val="1001"/>
        </w:numPr>
      </w:pPr>
      <w:r>
        <w:rPr>
          <w:b/>
          <w:bCs/>
        </w:rPr>
        <w:t xml:space="preserve">Lộ trình triển khai</w:t>
      </w:r>
      <w:r>
        <w:t xml:space="preserve">: Tiến trình được chia làm 02 đợt. Đợt 1 tiếp nhận và xét duyệt đề tài trong tháng 7/2026 (nghiệm thu vào tháng 10/2026); Đợt 2 xét duyệt vào tháng 11-12/2026 (nghiệm thu tháng 4/2027) và thực hiện thanh lý quyết toán toàn bộ kinh phí vào tháng 5/2027.</w:t>
      </w:r>
    </w:p>
    <w:p>
      <w:pPr>
        <w:pStyle w:val="FirstParagraph"/>
      </w:pPr>
      <w:r>
        <w:rPr>
          <w:b/>
          <w:bCs/>
        </w:rPr>
        <w:t xml:space="preserve">2. Khoa Kỹ thuật Xây dựng</w:t>
      </w:r>
    </w:p>
    <w:p>
      <w:pPr>
        <w:pStyle w:val="Compact"/>
        <w:numPr>
          <w:ilvl w:val="0"/>
          <w:numId w:val="1002"/>
        </w:numPr>
      </w:pPr>
      <w:r>
        <w:rPr>
          <w:b/>
          <w:bCs/>
        </w:rPr>
        <w:t xml:space="preserve">Mục tiêu và Tờ trình</w:t>
      </w:r>
      <w:r>
        <w:t xml:space="preserve">: Thực hiện theo Tờ trình số 178/KTXD ngày 15/06/2026, Khoa hướng tới thúc đẩy mạnh mẽ phong trào NCKH và ĐMST trên tất cả các chương trình đào tạo của Khoa (Tiêu chuẩn, Kỹ sư tài năng - KSTN, PFIEV, và Đào tạo Quốc tế OISP).</w:t>
      </w:r>
    </w:p>
    <w:p>
      <w:pPr>
        <w:pStyle w:val="Compact"/>
        <w:numPr>
          <w:ilvl w:val="0"/>
          <w:numId w:val="1002"/>
        </w:numPr>
      </w:pPr>
      <w:r>
        <w:rPr>
          <w:b/>
          <w:bCs/>
        </w:rPr>
        <w:t xml:space="preserve">Lộ trình triển khai</w:t>
      </w:r>
      <w:r>
        <w:t xml:space="preserve">: Quy trình thực hiện bám sát kế hoạch của Phòng KH&amp;CN: Thông báo đăng ký và tiếp nhận đề xuất của sinh viên trong tháng 6-7/2026; Thành lập Hội đồng xét duyệt cấp Khoa trong tháng 7/2026; Tổng hợp danh mục vật tư gửi Phòng KH&amp;CN mua sắm trong tháng 7-8/2026; Ký hợp đồng triển khai từ tháng 8-9/2026. Nghiệm thu đề tài vào tháng 4/2027 và quyết toán dứt điểm vào tháng 5/2027.</w:t>
      </w:r>
    </w:p>
    <w:p>
      <w:pPr>
        <w:pStyle w:val="FirstParagraph"/>
      </w:pPr>
      <w:r>
        <w:rPr>
          <w:b/>
          <w:bCs/>
        </w:rPr>
        <w:t xml:space="preserve">3. Khoa Khoa học Ứng dụng</w:t>
      </w:r>
    </w:p>
    <w:p>
      <w:pPr>
        <w:pStyle w:val="Compact"/>
        <w:numPr>
          <w:ilvl w:val="0"/>
          <w:numId w:val="1003"/>
        </w:numPr>
      </w:pPr>
      <w:r>
        <w:rPr>
          <w:b/>
          <w:bCs/>
        </w:rPr>
        <w:t xml:space="preserve">Mục tiêu và Định hướng</w:t>
      </w:r>
      <w:r>
        <w:t xml:space="preserve">: Khuyến khích tinh thần sáng tạo học thuật, phát triển năng lực nghiên cứu độc lập và khả năng ứng dụng thực tiễn của sinh viên. Khoa chủ trương chia các nhóm nghiên cứu sinh viên thành 2 hình thức: Nhóm A (Thực nghiệm chế tạo thiết bị, mô hình sinh học) và Nhóm B (Thuần túy mô phỏng tính toán lý thuyết).</w:t>
      </w:r>
    </w:p>
    <w:p>
      <w:pPr>
        <w:pStyle w:val="Compact"/>
        <w:numPr>
          <w:ilvl w:val="0"/>
          <w:numId w:val="1003"/>
        </w:numPr>
      </w:pPr>
      <w:r>
        <w:rPr>
          <w:b/>
          <w:bCs/>
        </w:rPr>
        <w:t xml:space="preserve">Hoạt động và Lộ trình</w:t>
      </w:r>
      <w:r>
        <w:t xml:space="preserve">: Triển khai trong vòng 12 tháng theo quy trình chung của Nhà trường. Đặc biệt, Khoa dành riêng một phần kinh phí để tổ chức Hội thảo khoa học sinh viên cấp Khoa nhằm trưng bày sản phẩm thực tế, báo cáo kết quả học thuật và tạo diễn đàn trao đổi chuyên môn giữa sinh viên, giảng viên và các phòng thí nghiệm.</w:t>
      </w:r>
    </w:p>
    <w:p>
      <w:pPr>
        <w:pStyle w:val="FirstParagraph"/>
      </w:pPr>
      <w:r>
        <w:rPr>
          <w:b/>
          <w:bCs/>
        </w:rPr>
        <w:t xml:space="preserve">4. Khoa Kỹ thuật Giao thông</w:t>
      </w:r>
    </w:p>
    <w:p>
      <w:pPr>
        <w:pStyle w:val="Compact"/>
        <w:numPr>
          <w:ilvl w:val="0"/>
          <w:numId w:val="1004"/>
        </w:numPr>
      </w:pPr>
      <w:r>
        <w:rPr>
          <w:b/>
          <w:bCs/>
        </w:rPr>
        <w:t xml:space="preserve">Mục tiêu và Kế hoạch</w:t>
      </w:r>
      <w:r>
        <w:t xml:space="preserve">: Thực hiện theo Kế hoạch số 49/KH-KTGT ngày 12/06/2026, Khoa ưu tiên các đề tài hướng đến sản phẩm đầu ra kiểm chứng trực quan bao gồm mô hình vật lý, drone, xe tự hành, thiết bị thử nghiệm thực tế hoặc các phần mềm ứng dụng chuyên ngành điều khiển giao thông thông minh.</w:t>
      </w:r>
    </w:p>
    <w:p>
      <w:pPr>
        <w:pStyle w:val="Compact"/>
        <w:numPr>
          <w:ilvl w:val="0"/>
          <w:numId w:val="1004"/>
        </w:numPr>
      </w:pPr>
      <w:r>
        <w:rPr>
          <w:b/>
          <w:bCs/>
        </w:rPr>
        <w:t xml:space="preserve">Lộ trình và Đối tượng</w:t>
      </w:r>
      <w:r>
        <w:t xml:space="preserve">: Đối tượng tham gia là sinh viên tất cả các hệ, trong đó ưu tiên sinh viên đang làm học phần tốt nghiệp. Nhận hồ sơ đăng ký trước ngày 31/07/2026, xét duyệt trong tháng 8/2026, thực hiện nghiên cứu từ tháng 11/2026 đến tháng 11/2027, nghiệm thu cấp Khoa vào tháng 10/2027 và thanh lý hợp đồng vào ngày 15/11/2027.</w:t>
      </w:r>
    </w:p>
    <w:p>
      <w:pPr>
        <w:pStyle w:val="FirstParagraph"/>
      </w:pPr>
      <w:r>
        <w:rPr>
          <w:b/>
          <w:bCs/>
        </w:rPr>
        <w:t xml:space="preserve">5. Khoa Kỹ thuật Địa chất &amp; Dầu khí</w:t>
      </w:r>
    </w:p>
    <w:p>
      <w:pPr>
        <w:pStyle w:val="Compact"/>
        <w:numPr>
          <w:ilvl w:val="0"/>
          <w:numId w:val="1005"/>
        </w:numPr>
      </w:pPr>
      <w:r>
        <w:rPr>
          <w:b/>
          <w:bCs/>
        </w:rPr>
        <w:t xml:space="preserve">Mục tiêu và Định hướng</w:t>
      </w:r>
      <w:r>
        <w:t xml:space="preserve">: Tập trung phát triển các đề tài nghiên cứu thực nghiệm chuyên sâu về cơ học đá, cơ học đất, địa kỹ thuật công trình và khảo sát thực địa đặc thù ngành. Cam kết đầu ra chất lượng cao là các công bố quốc tế uy tín (tạp chí thuộc danh mục Scopus Q3).</w:t>
      </w:r>
    </w:p>
    <w:p>
      <w:pPr>
        <w:pStyle w:val="Compact"/>
        <w:numPr>
          <w:ilvl w:val="0"/>
          <w:numId w:val="1005"/>
        </w:numPr>
      </w:pPr>
      <w:r>
        <w:rPr>
          <w:b/>
          <w:bCs/>
        </w:rPr>
        <w:t xml:space="preserve">Lộ trình triển khai</w:t>
      </w:r>
      <w:r>
        <w:t xml:space="preserve">: Triển khai theo chu kỳ 6-12 tháng. Để đảm bảo tiến độ nghiên cứu thực nghiệm tại phòng thí nghiệm, Khoa ưu tiên tổng hợp và thực hiện quy trình mua sắm các thiết bị đo lường chuyên dụng ngay từ đợt đầu tiên.</w:t>
      </w:r>
    </w:p>
    <w:p>
      <w:pPr>
        <w:pStyle w:val="FirstParagraph"/>
      </w:pPr>
      <w:r>
        <w:rPr>
          <w:b/>
          <w:bCs/>
        </w:rPr>
        <w:t xml:space="preserve">6. Khoa Công nghệ Vật liệu</w:t>
      </w:r>
    </w:p>
    <w:p>
      <w:pPr>
        <w:pStyle w:val="Compact"/>
        <w:numPr>
          <w:ilvl w:val="0"/>
          <w:numId w:val="1006"/>
        </w:numPr>
      </w:pPr>
      <w:r>
        <w:rPr>
          <w:b/>
          <w:bCs/>
        </w:rPr>
        <w:t xml:space="preserve">Mục tiêu và Định hướng</w:t>
      </w:r>
      <w:r>
        <w:t xml:space="preserve">: Khuyến khích các đề tài nghiên cứu chế tạo vật liệu mới ứng dụng công nghệ cao và thân thiện với môi trường. Các hướng nghiên cứu chủ đạo gồm chế tạo vật liệu nano oxit kim loại làm anode cho pin lithium-ion, bê tông tự liền trong môi trường đặc thù, vật liệu in 3D từ nhựa tái chế và chế tạo khuôn concave vi mô.</w:t>
      </w:r>
    </w:p>
    <w:p>
      <w:pPr>
        <w:pStyle w:val="Compact"/>
        <w:numPr>
          <w:ilvl w:val="0"/>
          <w:numId w:val="1006"/>
        </w:numPr>
      </w:pPr>
      <w:r>
        <w:rPr>
          <w:b/>
          <w:bCs/>
        </w:rPr>
        <w:t xml:space="preserve">Lộ trình triển khai</w:t>
      </w:r>
      <w:r>
        <w:t xml:space="preserve">: Triển khai chu kỳ 12 tháng. Khoa thực hiện rà soát và lập kế hoạch mua sắm hóa chất, vật tư thí nghiệm nghiêm ngặt từ sớm để tránh tình trạng chậm trễ mẫu thực nghiệm của sinh viên.</w:t>
      </w:r>
    </w:p>
    <w:p>
      <w:pPr>
        <w:pStyle w:val="FirstParagraph"/>
      </w:pPr>
      <w:r>
        <w:rPr>
          <w:b/>
          <w:bCs/>
        </w:rPr>
        <w:t xml:space="preserve">7. Khoa Môi trường và Tài nguyên</w:t>
      </w:r>
    </w:p>
    <w:p>
      <w:pPr>
        <w:pStyle w:val="Compact"/>
        <w:numPr>
          <w:ilvl w:val="0"/>
          <w:numId w:val="1007"/>
        </w:numPr>
      </w:pPr>
      <w:r>
        <w:rPr>
          <w:b/>
          <w:bCs/>
        </w:rPr>
        <w:t xml:space="preserve">Mục tiêu và Định hướng</w:t>
      </w:r>
      <w:r>
        <w:t xml:space="preserve">: Tập trung vào các nghiên cứu ứng dụng công nghệ hóa-sinh hiện đại giải quyết các thách thức môi trường thực tế. Các đề tài tiêu biểu gồm ứng dụng Fenton điện hóa và hoạt hóa peroxymonosulfate xử lý nước thải dệt nhuộm, khảo sát khả năng chịu mặn và tương thích Bacillus velezensis và Trichoderma asperellum hướng đến phát triển chế phẩm sinh học phục vụ nông nghiệp sạch.</w:t>
      </w:r>
    </w:p>
    <w:p>
      <w:pPr>
        <w:pStyle w:val="Compact"/>
        <w:numPr>
          <w:ilvl w:val="0"/>
          <w:numId w:val="1007"/>
        </w:numPr>
      </w:pPr>
      <w:r>
        <w:rPr>
          <w:b/>
          <w:bCs/>
        </w:rPr>
        <w:t xml:space="preserve">Lộ trình triển khai</w:t>
      </w:r>
      <w:r>
        <w:t xml:space="preserve">: Triển khai từ tháng 08/2026 đến tháng 07/2027. Khoa nỗ lực tối ưu hóa phân bổ nguồn kinh phí thực tế của nhà trường để đáp ứng nhu cầu thực hiện đề tài rất lớn của sinh viên.</w:t>
      </w:r>
    </w:p>
    <w:p>
      <w:pPr>
        <w:pStyle w:val="FirstParagraph"/>
      </w:pPr>
      <w:r>
        <w:rPr>
          <w:b/>
          <w:bCs/>
        </w:rPr>
        <w:t xml:space="preserve">8. Khoa Khoa học &amp; Kỹ thuật Máy tính</w:t>
      </w:r>
    </w:p>
    <w:p>
      <w:pPr>
        <w:pStyle w:val="Compact"/>
        <w:numPr>
          <w:ilvl w:val="0"/>
          <w:numId w:val="1008"/>
        </w:numPr>
      </w:pPr>
      <w:r>
        <w:rPr>
          <w:b/>
          <w:bCs/>
        </w:rPr>
        <w:t xml:space="preserve">Mục tiêu và Định hướng</w:t>
      </w:r>
      <w:r>
        <w:t xml:space="preserve">: Thúc đẩy nghiên cứu khoa học sinh viên đỉnh cao gắn liền với các công bố khoa học uy tín quốc tế và tham gia giải thưởng học thuật lớn. Định hướng đầu ra là bài báo đăng tại hội nghị có phản biện thuộc IEEE/Springer/ACM, Scopus Index hoặc tạp chí tính điểm của Hội đồng Giáo sư Nhà nước.</w:t>
      </w:r>
    </w:p>
    <w:p>
      <w:pPr>
        <w:pStyle w:val="Compact"/>
        <w:numPr>
          <w:ilvl w:val="0"/>
          <w:numId w:val="1008"/>
        </w:numPr>
      </w:pPr>
      <w:r>
        <w:rPr>
          <w:b/>
          <w:bCs/>
        </w:rPr>
        <w:t xml:space="preserve">Lộ trình triển khai</w:t>
      </w:r>
      <w:r>
        <w:t xml:space="preserve">: Xét duyệt đề tài và mua sắm thiết bị phần cứng/phần mềm trong tháng 8/2026, thực hiện nghiên cứu từ tháng 9/2026 đến tháng 4/2027, nghiệm thu và thanh lý vào tháng 5/2027. Khuyến khích sinh viên tham gia Huawei ICT Competition, Robocon, BK Innovation, Liên hoan Tuổi trẻ Sáng tạo.</w:t>
      </w:r>
    </w:p>
    <w:p>
      <w:pPr>
        <w:pStyle w:val="FirstParagraph"/>
      </w:pPr>
      <w:r>
        <w:rPr>
          <w:b/>
          <w:bCs/>
        </w:rPr>
        <w:t xml:space="preserve">9. Khoa Quản lý Công nghiệp</w:t>
      </w:r>
    </w:p>
    <w:p>
      <w:pPr>
        <w:pStyle w:val="Compact"/>
        <w:numPr>
          <w:ilvl w:val="0"/>
          <w:numId w:val="1009"/>
        </w:numPr>
      </w:pPr>
      <w:r>
        <w:rPr>
          <w:b/>
          <w:bCs/>
        </w:rPr>
        <w:t xml:space="preserve">Mục tiêu và Định hướng</w:t>
      </w:r>
      <w:r>
        <w:t xml:space="preserve">: Tập trung vào các đề tài ứng dụng công nghệ số và phương pháp tối ưu hóa trong quản lý kinh tế và vận hành chuỗi cung ứng. Hướng nghiên cứu chủ đạo gồm ứng dụng học máy trong dự báo nhu cầu doanh nghiệp, tối ưu hóa chuỗi cung ứng logistics (Heuristics, NSGA-II), định lượng khả năng phục hồi chuỗi cung ứng dưới tác động ripple effect, và ứng dụng AI trong lập kế hoạch du lịch xanh bền vững (mô hình UTAUT2).</w:t>
      </w:r>
    </w:p>
    <w:p>
      <w:pPr>
        <w:pStyle w:val="Compact"/>
        <w:numPr>
          <w:ilvl w:val="0"/>
          <w:numId w:val="1009"/>
        </w:numPr>
      </w:pPr>
      <w:r>
        <w:rPr>
          <w:b/>
          <w:bCs/>
        </w:rPr>
        <w:t xml:space="preserve">Lộ trình triển khai</w:t>
      </w:r>
      <w:r>
        <w:t xml:space="preserve">: Triển khai chu kỳ 9-12 tháng bắt đầu từ tháng 9/2026, nghiệm thu và đánh giá kết quả theo đúng quy trình chung của Khoa và Nhà trường.</w:t>
      </w:r>
    </w:p>
    <w:p>
      <w:pPr>
        <w:pStyle w:val="FirstParagraph"/>
      </w:pPr>
      <w:r>
        <w:rPr>
          <w:b/>
          <w:bCs/>
        </w:rPr>
        <w:t xml:space="preserve">10. Khoa Kỹ thuật Hóa học</w:t>
      </w:r>
    </w:p>
    <w:p>
      <w:pPr>
        <w:pStyle w:val="Compact"/>
        <w:numPr>
          <w:ilvl w:val="0"/>
          <w:numId w:val="1010"/>
        </w:numPr>
      </w:pPr>
      <w:r>
        <w:rPr>
          <w:b/>
          <w:bCs/>
        </w:rPr>
        <w:t xml:space="preserve">Mục tiêu và Tờ trình</w:t>
      </w:r>
      <w:r>
        <w:t xml:space="preserve">: Thực hiện theo Tờ trình số 182/TTr-KTHH ngày 11/06/2026, Khoa thực hiện kế hoạch 12 tháng (tháng 6/2026 - tháng 5/2027) nhằm xây dựng quy trình quản lý NCKH sinh viên chuyên nghiệp và hiệu quả. Nâng cao số lượng sinh viên tiếp cận nghiên cứu thực nghiệm hóa chất, thúc đẩy công bố khoa học.</w:t>
      </w:r>
    </w:p>
    <w:p>
      <w:pPr>
        <w:pStyle w:val="Compact"/>
        <w:numPr>
          <w:ilvl w:val="0"/>
          <w:numId w:val="1010"/>
        </w:numPr>
      </w:pPr>
      <w:r>
        <w:rPr>
          <w:b/>
          <w:bCs/>
        </w:rPr>
        <w:t xml:space="preserve">Lộ trình</w:t>
      </w:r>
      <w:r>
        <w:t xml:space="preserve">: Chia làm 2 đợt tiếp nhận và nghiệm thu tương tự Khoa Cơ khí, đảm bảo giải ngân và quyết toán dứt điểm toàn bộ kinh phí vào tháng 5/2027.</w:t>
      </w:r>
    </w:p>
    <w:p>
      <w:r>
        <w:pict>
          <v:rect style="width:0;height:1.5pt" o:hralign="center" o:hrstd="t" o:hr="t"/>
        </w:pict>
      </w:r>
    </w:p>
    <w:bookmarkEnd w:id="9"/>
    <w:bookmarkStart w:id="10" w:name="X59c0f19e5a0554a17b4234bd49a0f5f0f207b62"/>
    <w:p>
      <w:pPr>
        <w:pStyle w:val="Heading2"/>
      </w:pPr>
      <w:r>
        <w:t xml:space="preserve">II. THỐNG KÊ SỐ LƯỢNG ĐỀ TÀI VÀ SINH VIÊN THEO CHƯƠNG TRÌNH</w:t>
      </w:r>
    </w:p>
    <w:p>
      <w:pPr>
        <w:pStyle w:val="FirstParagraph"/>
      </w:pPr>
      <w:r>
        <w:t xml:space="preserve">Bảng dưới đây thống kê chi tiết số lượng đề tài, số lượng sinh viên tham gia phân bổ theo 4 chương trình đào tạo chính (Tiêu chuẩn, Kỹ sư tài năng - KSTN, Kỹ sư chất lượng cao Việt-Pháp - PFIEV, Đào tạo Quốc tế - OISP) và tổng kinh phí của các khoa:</w:t>
      </w:r>
    </w:p>
    <w:tbl>
      <w:tblPr>
        <w:tblStyle w:val="Table"/>
        <w:tblW w:type="pct" w:w="5000"/>
        <w:tblLayout w:type="fixed"/>
        <w:tblLook w:firstRow="1" w:lastRow="0" w:firstColumn="0" w:lastColumn="0" w:noHBand="0" w:noVBand="0" w:val="0020"/>
      </w:tblPr>
      <w:tblGrid>
        <w:gridCol w:w="900"/>
        <w:gridCol w:w="720"/>
        <w:gridCol w:w="900"/>
        <w:gridCol w:w="900"/>
        <w:gridCol w:w="900"/>
        <w:gridCol w:w="900"/>
        <w:gridCol w:w="900"/>
        <w:gridCol w:w="900"/>
        <w:gridCol w:w="900"/>
      </w:tblGrid>
      <w:tr>
        <w:trPr>
          <w:tblHeader w:val="on"/>
        </w:trPr>
        <w:tc>
          <w:tcPr/>
          <w:p>
            <w:pPr>
              <w:pStyle w:val="Compact"/>
              <w:jc w:val="center"/>
            </w:pPr>
            <w:r>
              <w:t xml:space="preserve">STT</w:t>
            </w:r>
          </w:p>
        </w:tc>
        <w:tc>
          <w:tcPr/>
          <w:p>
            <w:pPr>
              <w:pStyle w:val="Compact"/>
              <w:jc w:val="left"/>
            </w:pPr>
            <w:r>
              <w:t xml:space="preserve">Tên Khoa</w:t>
            </w:r>
          </w:p>
        </w:tc>
        <w:tc>
          <w:tcPr/>
          <w:p>
            <w:pPr>
              <w:pStyle w:val="Compact"/>
              <w:jc w:val="center"/>
            </w:pPr>
            <w:r>
              <w:t xml:space="preserve">Chương trình Tiêu chuẩn</w:t>
            </w:r>
            <w:r>
              <w:t xml:space="preserve"> </w:t>
            </w:r>
            <w:r>
              <w:t xml:space="preserve">(Đề tài / SV)</w:t>
            </w:r>
          </w:p>
        </w:tc>
        <w:tc>
          <w:tcPr/>
          <w:p>
            <w:pPr>
              <w:pStyle w:val="Compact"/>
              <w:jc w:val="center"/>
            </w:pPr>
            <w:r>
              <w:t xml:space="preserve">Chương trình KSTN</w:t>
            </w:r>
            <w:r>
              <w:t xml:space="preserve"> </w:t>
            </w:r>
            <w:r>
              <w:t xml:space="preserve">(Đề tài / SV)</w:t>
            </w:r>
          </w:p>
        </w:tc>
        <w:tc>
          <w:tcPr/>
          <w:p>
            <w:pPr>
              <w:pStyle w:val="Compact"/>
              <w:jc w:val="center"/>
            </w:pPr>
            <w:r>
              <w:t xml:space="preserve">Chương trình PFIEV</w:t>
            </w:r>
            <w:r>
              <w:t xml:space="preserve"> </w:t>
            </w:r>
            <w:r>
              <w:t xml:space="preserve">(Đề tài / SV)</w:t>
            </w:r>
          </w:p>
        </w:tc>
        <w:tc>
          <w:tcPr/>
          <w:p>
            <w:pPr>
              <w:pStyle w:val="Compact"/>
              <w:jc w:val="center"/>
            </w:pPr>
            <w:r>
              <w:t xml:space="preserve">Chương trình OISP</w:t>
            </w:r>
            <w:r>
              <w:t xml:space="preserve"> </w:t>
            </w:r>
            <w:r>
              <w:t xml:space="preserve">(Đề tài / SV)</w:t>
            </w:r>
          </w:p>
        </w:tc>
        <w:tc>
          <w:tcPr/>
          <w:p>
            <w:pPr>
              <w:pStyle w:val="Compact"/>
              <w:jc w:val="center"/>
            </w:pPr>
            <w:r>
              <w:t xml:space="preserve">Tổng số Đề tài</w:t>
            </w:r>
          </w:p>
        </w:tc>
        <w:tc>
          <w:tcPr/>
          <w:p>
            <w:pPr>
              <w:pStyle w:val="Compact"/>
              <w:jc w:val="center"/>
            </w:pPr>
            <w:r>
              <w:t xml:space="preserve">Tổng số Sinh viên</w:t>
            </w:r>
          </w:p>
        </w:tc>
        <w:tc>
          <w:tcPr/>
          <w:p>
            <w:pPr>
              <w:pStyle w:val="Compact"/>
              <w:jc w:val="center"/>
            </w:pPr>
            <w:r>
              <w:t xml:space="preserve">Tổng Kinh phí</w:t>
            </w:r>
            <w:r>
              <w:t xml:space="preserve"> </w:t>
            </w:r>
            <w:r>
              <w:t xml:space="preserve">(Triệu VNĐ)</w:t>
            </w:r>
          </w:p>
        </w:tc>
      </w:tr>
      <w:tr>
        <w:tc>
          <w:tcPr/>
          <w:p>
            <w:pPr>
              <w:pStyle w:val="Compact"/>
              <w:jc w:val="center"/>
            </w:pPr>
            <w:r>
              <w:t xml:space="preserve">1</w:t>
            </w:r>
          </w:p>
        </w:tc>
        <w:tc>
          <w:tcPr/>
          <w:p>
            <w:pPr>
              <w:pStyle w:val="Compact"/>
              <w:jc w:val="left"/>
            </w:pPr>
            <w:r>
              <w:t xml:space="preserve">Khoa Cơ khí</w:t>
            </w:r>
          </w:p>
        </w:tc>
        <w:tc>
          <w:tcPr/>
          <w:p>
            <w:pPr>
              <w:pStyle w:val="Compact"/>
              <w:jc w:val="center"/>
            </w:pPr>
            <w:r>
              <w:t xml:space="preserve">45-55 / 160-250</w:t>
            </w:r>
          </w:p>
        </w:tc>
        <w:tc>
          <w:tcPr/>
          <w:p>
            <w:pPr>
              <w:pStyle w:val="Compact"/>
              <w:jc w:val="center"/>
            </w:pPr>
            <w:r>
              <w:t xml:space="preserve">0 / 0</w:t>
            </w:r>
          </w:p>
        </w:tc>
        <w:tc>
          <w:tcPr/>
          <w:p>
            <w:pPr>
              <w:pStyle w:val="Compact"/>
              <w:jc w:val="center"/>
            </w:pPr>
            <w:r>
              <w:t xml:space="preserve">0 / 0</w:t>
            </w:r>
          </w:p>
        </w:tc>
        <w:tc>
          <w:tcPr/>
          <w:p>
            <w:pPr>
              <w:pStyle w:val="Compact"/>
              <w:jc w:val="center"/>
            </w:pPr>
            <w:r>
              <w:t xml:space="preserve">0 / 0</w:t>
            </w:r>
          </w:p>
        </w:tc>
        <w:tc>
          <w:tcPr/>
          <w:p>
            <w:pPr>
              <w:pStyle w:val="Compact"/>
              <w:jc w:val="center"/>
            </w:pPr>
            <w:r>
              <w:rPr>
                <w:b/>
                <w:bCs/>
              </w:rPr>
              <w:t xml:space="preserve">45 - 55</w:t>
            </w:r>
          </w:p>
        </w:tc>
        <w:tc>
          <w:tcPr/>
          <w:p>
            <w:pPr>
              <w:pStyle w:val="Compact"/>
              <w:jc w:val="center"/>
            </w:pPr>
            <w:r>
              <w:rPr>
                <w:b/>
                <w:bCs/>
              </w:rPr>
              <w:t xml:space="preserve">160 - 250</w:t>
            </w:r>
          </w:p>
        </w:tc>
        <w:tc>
          <w:tcPr/>
          <w:p>
            <w:pPr>
              <w:pStyle w:val="Compact"/>
              <w:jc w:val="center"/>
            </w:pPr>
            <w:r>
              <w:rPr>
                <w:b/>
                <w:bCs/>
              </w:rPr>
              <w:t xml:space="preserve">1.118,80</w:t>
            </w:r>
          </w:p>
        </w:tc>
      </w:tr>
      <w:tr>
        <w:tc>
          <w:tcPr/>
          <w:p>
            <w:pPr>
              <w:pStyle w:val="Compact"/>
              <w:jc w:val="center"/>
            </w:pPr>
            <w:r>
              <w:t xml:space="preserve">2</w:t>
            </w:r>
          </w:p>
        </w:tc>
        <w:tc>
          <w:tcPr/>
          <w:p>
            <w:pPr>
              <w:pStyle w:val="Compact"/>
              <w:jc w:val="left"/>
            </w:pPr>
            <w:r>
              <w:t xml:space="preserve">Kỹ thuật Xây dựng</w:t>
            </w:r>
          </w:p>
        </w:tc>
        <w:tc>
          <w:tcPr/>
          <w:p>
            <w:pPr>
              <w:pStyle w:val="Compact"/>
              <w:jc w:val="center"/>
            </w:pPr>
            <w:r>
              <w:t xml:space="preserve">20 / 60</w:t>
            </w:r>
          </w:p>
        </w:tc>
        <w:tc>
          <w:tcPr/>
          <w:p>
            <w:pPr>
              <w:pStyle w:val="Compact"/>
              <w:jc w:val="center"/>
            </w:pPr>
            <w:r>
              <w:t xml:space="preserve">5 / 15</w:t>
            </w:r>
          </w:p>
        </w:tc>
        <w:tc>
          <w:tcPr/>
          <w:p>
            <w:pPr>
              <w:pStyle w:val="Compact"/>
              <w:jc w:val="center"/>
            </w:pPr>
            <w:r>
              <w:t xml:space="preserve">10 / 30</w:t>
            </w:r>
          </w:p>
        </w:tc>
        <w:tc>
          <w:tcPr/>
          <w:p>
            <w:pPr>
              <w:pStyle w:val="Compact"/>
              <w:jc w:val="center"/>
            </w:pPr>
            <w:r>
              <w:t xml:space="preserve">10 / 30</w:t>
            </w:r>
          </w:p>
        </w:tc>
        <w:tc>
          <w:tcPr/>
          <w:p>
            <w:pPr>
              <w:pStyle w:val="Compact"/>
              <w:jc w:val="center"/>
            </w:pPr>
            <w:r>
              <w:rPr>
                <w:b/>
                <w:bCs/>
              </w:rPr>
              <w:t xml:space="preserve">45</w:t>
            </w:r>
          </w:p>
        </w:tc>
        <w:tc>
          <w:tcPr/>
          <w:p>
            <w:pPr>
              <w:pStyle w:val="Compact"/>
              <w:jc w:val="center"/>
            </w:pPr>
            <w:r>
              <w:rPr>
                <w:b/>
                <w:bCs/>
              </w:rPr>
              <w:t xml:space="preserve">135</w:t>
            </w:r>
          </w:p>
        </w:tc>
        <w:tc>
          <w:tcPr/>
          <w:p>
            <w:pPr>
              <w:pStyle w:val="Compact"/>
              <w:jc w:val="center"/>
            </w:pPr>
            <w:r>
              <w:rPr>
                <w:b/>
                <w:bCs/>
              </w:rPr>
              <w:t xml:space="preserve">440,60</w:t>
            </w:r>
          </w:p>
        </w:tc>
      </w:tr>
      <w:tr>
        <w:tc>
          <w:tcPr/>
          <w:p>
            <w:pPr>
              <w:pStyle w:val="Compact"/>
              <w:jc w:val="center"/>
            </w:pPr>
            <w:r>
              <w:t xml:space="preserve">3</w:t>
            </w:r>
          </w:p>
        </w:tc>
        <w:tc>
          <w:tcPr/>
          <w:p>
            <w:pPr>
              <w:pStyle w:val="Compact"/>
              <w:jc w:val="left"/>
            </w:pPr>
            <w:r>
              <w:t xml:space="preserve">Khoa học Ứng dụng</w:t>
            </w:r>
          </w:p>
        </w:tc>
        <w:tc>
          <w:tcPr/>
          <w:p>
            <w:pPr>
              <w:pStyle w:val="Compact"/>
              <w:jc w:val="center"/>
            </w:pPr>
            <w:r>
              <w:t xml:space="preserve">4 / 16</w:t>
            </w:r>
          </w:p>
        </w:tc>
        <w:tc>
          <w:tcPr/>
          <w:p>
            <w:pPr>
              <w:pStyle w:val="Compact"/>
              <w:jc w:val="center"/>
            </w:pPr>
            <w:r>
              <w:t xml:space="preserve">13 / 18</w:t>
            </w:r>
          </w:p>
        </w:tc>
        <w:tc>
          <w:tcPr/>
          <w:p>
            <w:pPr>
              <w:pStyle w:val="Compact"/>
              <w:jc w:val="center"/>
            </w:pPr>
            <w:r>
              <w:t xml:space="preserve">0 / 0</w:t>
            </w:r>
          </w:p>
        </w:tc>
        <w:tc>
          <w:tcPr/>
          <w:p>
            <w:pPr>
              <w:pStyle w:val="Compact"/>
              <w:jc w:val="center"/>
            </w:pPr>
            <w:r>
              <w:t xml:space="preserve">4 / 9</w:t>
            </w:r>
          </w:p>
        </w:tc>
        <w:tc>
          <w:tcPr/>
          <w:p>
            <w:pPr>
              <w:pStyle w:val="Compact"/>
              <w:jc w:val="center"/>
            </w:pPr>
            <w:r>
              <w:rPr>
                <w:b/>
                <w:bCs/>
              </w:rPr>
              <w:t xml:space="preserve">21</w:t>
            </w:r>
          </w:p>
        </w:tc>
        <w:tc>
          <w:tcPr/>
          <w:p>
            <w:pPr>
              <w:pStyle w:val="Compact"/>
              <w:jc w:val="center"/>
            </w:pPr>
            <w:r>
              <w:rPr>
                <w:b/>
                <w:bCs/>
              </w:rPr>
              <w:t xml:space="preserve">43</w:t>
            </w:r>
          </w:p>
        </w:tc>
        <w:tc>
          <w:tcPr/>
          <w:p>
            <w:pPr>
              <w:pStyle w:val="Compact"/>
              <w:jc w:val="center"/>
            </w:pPr>
            <w:r>
              <w:rPr>
                <w:b/>
                <w:bCs/>
              </w:rPr>
              <w:t xml:space="preserve">168,40</w:t>
            </w:r>
          </w:p>
        </w:tc>
      </w:tr>
      <w:tr>
        <w:tc>
          <w:tcPr/>
          <w:p>
            <w:pPr>
              <w:pStyle w:val="Compact"/>
              <w:jc w:val="center"/>
            </w:pPr>
            <w:r>
              <w:t xml:space="preserve">4</w:t>
            </w:r>
          </w:p>
        </w:tc>
        <w:tc>
          <w:tcPr/>
          <w:p>
            <w:pPr>
              <w:pStyle w:val="Compact"/>
              <w:jc w:val="left"/>
            </w:pPr>
            <w:r>
              <w:t xml:space="preserve">Kỹ thuật Giao thông</w:t>
            </w:r>
          </w:p>
        </w:tc>
        <w:tc>
          <w:tcPr/>
          <w:p>
            <w:pPr>
              <w:pStyle w:val="Compact"/>
              <w:jc w:val="center"/>
            </w:pPr>
            <w:r>
              <w:t xml:space="preserve">10 / -</w:t>
            </w:r>
          </w:p>
        </w:tc>
        <w:tc>
          <w:tcPr/>
          <w:p>
            <w:pPr>
              <w:pStyle w:val="Compact"/>
              <w:jc w:val="center"/>
            </w:pPr>
            <w:r>
              <w:t xml:space="preserve">0 / 0</w:t>
            </w:r>
          </w:p>
        </w:tc>
        <w:tc>
          <w:tcPr/>
          <w:p>
            <w:pPr>
              <w:pStyle w:val="Compact"/>
              <w:jc w:val="center"/>
            </w:pPr>
            <w:r>
              <w:t xml:space="preserve">10 / -</w:t>
            </w:r>
          </w:p>
        </w:tc>
        <w:tc>
          <w:tcPr/>
          <w:p>
            <w:pPr>
              <w:pStyle w:val="Compact"/>
              <w:jc w:val="center"/>
            </w:pPr>
            <w:r>
              <w:t xml:space="preserve">10 / -</w:t>
            </w:r>
          </w:p>
        </w:tc>
        <w:tc>
          <w:tcPr/>
          <w:p>
            <w:pPr>
              <w:pStyle w:val="Compact"/>
              <w:jc w:val="center"/>
            </w:pPr>
            <w:r>
              <w:rPr>
                <w:b/>
                <w:bCs/>
              </w:rPr>
              <w:t xml:space="preserve">30</w:t>
            </w:r>
          </w:p>
        </w:tc>
        <w:tc>
          <w:tcPr/>
          <w:p>
            <w:pPr>
              <w:pStyle w:val="Compact"/>
              <w:jc w:val="center"/>
            </w:pPr>
            <w:r>
              <w:rPr>
                <w:b/>
                <w:bCs/>
              </w:rPr>
              <w:t xml:space="preserve">140</w:t>
            </w:r>
          </w:p>
        </w:tc>
        <w:tc>
          <w:tcPr/>
          <w:p>
            <w:pPr>
              <w:pStyle w:val="Compact"/>
              <w:jc w:val="center"/>
            </w:pPr>
            <w:r>
              <w:rPr>
                <w:b/>
                <w:bCs/>
              </w:rPr>
              <w:t xml:space="preserve">152,60</w:t>
            </w:r>
          </w:p>
        </w:tc>
      </w:tr>
      <w:tr>
        <w:tc>
          <w:tcPr/>
          <w:p>
            <w:pPr>
              <w:pStyle w:val="Compact"/>
              <w:jc w:val="center"/>
            </w:pPr>
            <w:r>
              <w:t xml:space="preserve">5</w:t>
            </w:r>
          </w:p>
        </w:tc>
        <w:tc>
          <w:tcPr/>
          <w:p>
            <w:pPr>
              <w:pStyle w:val="Compact"/>
              <w:jc w:val="left"/>
            </w:pPr>
            <w:r>
              <w:t xml:space="preserve">Kỹ thuật Địa chất &amp; Dầu khí</w:t>
            </w:r>
          </w:p>
        </w:tc>
        <w:tc>
          <w:tcPr/>
          <w:p>
            <w:pPr>
              <w:pStyle w:val="Compact"/>
              <w:jc w:val="center"/>
            </w:pPr>
            <w:r>
              <w:t xml:space="preserve">3 / 22</w:t>
            </w:r>
          </w:p>
        </w:tc>
        <w:tc>
          <w:tcPr/>
          <w:p>
            <w:pPr>
              <w:pStyle w:val="Compact"/>
              <w:jc w:val="center"/>
            </w:pPr>
            <w:r>
              <w:t xml:space="preserve">0 / 0</w:t>
            </w:r>
          </w:p>
        </w:tc>
        <w:tc>
          <w:tcPr/>
          <w:p>
            <w:pPr>
              <w:pStyle w:val="Compact"/>
              <w:jc w:val="center"/>
            </w:pPr>
            <w:r>
              <w:t xml:space="preserve">0 / 0</w:t>
            </w:r>
          </w:p>
        </w:tc>
        <w:tc>
          <w:tcPr/>
          <w:p>
            <w:pPr>
              <w:pStyle w:val="Compact"/>
              <w:jc w:val="center"/>
            </w:pPr>
            <w:r>
              <w:t xml:space="preserve">0 / 0</w:t>
            </w:r>
          </w:p>
        </w:tc>
        <w:tc>
          <w:tcPr/>
          <w:p>
            <w:pPr>
              <w:pStyle w:val="Compact"/>
              <w:jc w:val="center"/>
            </w:pPr>
            <w:r>
              <w:rPr>
                <w:b/>
                <w:bCs/>
              </w:rPr>
              <w:t xml:space="preserve">3</w:t>
            </w:r>
          </w:p>
        </w:tc>
        <w:tc>
          <w:tcPr/>
          <w:p>
            <w:pPr>
              <w:pStyle w:val="Compact"/>
              <w:jc w:val="center"/>
            </w:pPr>
            <w:r>
              <w:rPr>
                <w:b/>
                <w:bCs/>
              </w:rPr>
              <w:t xml:space="preserve">22</w:t>
            </w:r>
          </w:p>
        </w:tc>
        <w:tc>
          <w:tcPr/>
          <w:p>
            <w:pPr>
              <w:pStyle w:val="Compact"/>
              <w:jc w:val="center"/>
            </w:pPr>
            <w:r>
              <w:rPr>
                <w:b/>
                <w:bCs/>
              </w:rPr>
              <w:t xml:space="preserve">263,55</w:t>
            </w:r>
          </w:p>
        </w:tc>
      </w:tr>
      <w:tr>
        <w:tc>
          <w:tcPr/>
          <w:p>
            <w:pPr>
              <w:pStyle w:val="Compact"/>
              <w:jc w:val="center"/>
            </w:pPr>
            <w:r>
              <w:t xml:space="preserve">6</w:t>
            </w:r>
          </w:p>
        </w:tc>
        <w:tc>
          <w:tcPr/>
          <w:p>
            <w:pPr>
              <w:pStyle w:val="Compact"/>
              <w:jc w:val="left"/>
            </w:pPr>
            <w:r>
              <w:t xml:space="preserve">Công nghệ Vật liệu</w:t>
            </w:r>
          </w:p>
        </w:tc>
        <w:tc>
          <w:tcPr/>
          <w:p>
            <w:pPr>
              <w:pStyle w:val="Compact"/>
              <w:jc w:val="center"/>
            </w:pPr>
            <w:r>
              <w:t xml:space="preserve">11 / 11</w:t>
            </w:r>
          </w:p>
        </w:tc>
        <w:tc>
          <w:tcPr/>
          <w:p>
            <w:pPr>
              <w:pStyle w:val="Compact"/>
              <w:jc w:val="center"/>
            </w:pPr>
            <w:r>
              <w:t xml:space="preserve">0 / 0</w:t>
            </w:r>
          </w:p>
        </w:tc>
        <w:tc>
          <w:tcPr/>
          <w:p>
            <w:pPr>
              <w:pStyle w:val="Compact"/>
              <w:jc w:val="center"/>
            </w:pPr>
            <w:r>
              <w:t xml:space="preserve">6 / 12</w:t>
            </w:r>
          </w:p>
        </w:tc>
        <w:tc>
          <w:tcPr/>
          <w:p>
            <w:pPr>
              <w:pStyle w:val="Compact"/>
              <w:jc w:val="center"/>
            </w:pPr>
            <w:r>
              <w:t xml:space="preserve">2 / 5</w:t>
            </w:r>
          </w:p>
        </w:tc>
        <w:tc>
          <w:tcPr/>
          <w:p>
            <w:pPr>
              <w:pStyle w:val="Compact"/>
              <w:jc w:val="center"/>
            </w:pPr>
            <w:r>
              <w:rPr>
                <w:b/>
                <w:bCs/>
              </w:rPr>
              <w:t xml:space="preserve">19</w:t>
            </w:r>
          </w:p>
        </w:tc>
        <w:tc>
          <w:tcPr/>
          <w:p>
            <w:pPr>
              <w:pStyle w:val="Compact"/>
              <w:jc w:val="center"/>
            </w:pPr>
            <w:r>
              <w:rPr>
                <w:b/>
                <w:bCs/>
              </w:rPr>
              <w:t xml:space="preserve">28</w:t>
            </w:r>
          </w:p>
        </w:tc>
        <w:tc>
          <w:tcPr/>
          <w:p>
            <w:pPr>
              <w:pStyle w:val="Compact"/>
              <w:jc w:val="center"/>
            </w:pPr>
            <w:r>
              <w:rPr>
                <w:b/>
                <w:bCs/>
              </w:rPr>
              <w:t xml:space="preserve">94,70</w:t>
            </w:r>
          </w:p>
        </w:tc>
      </w:tr>
      <w:tr>
        <w:tc>
          <w:tcPr/>
          <w:p>
            <w:pPr>
              <w:pStyle w:val="Compact"/>
              <w:jc w:val="center"/>
            </w:pPr>
            <w:r>
              <w:t xml:space="preserve">7</w:t>
            </w:r>
          </w:p>
        </w:tc>
        <w:tc>
          <w:tcPr/>
          <w:p>
            <w:pPr>
              <w:pStyle w:val="Compact"/>
              <w:jc w:val="left"/>
            </w:pPr>
            <w:r>
              <w:t xml:space="preserve">Môi trường và Tài nguyên</w:t>
            </w:r>
          </w:p>
        </w:tc>
        <w:tc>
          <w:tcPr/>
          <w:p>
            <w:pPr>
              <w:pStyle w:val="Compact"/>
              <w:jc w:val="center"/>
            </w:pPr>
            <w:r>
              <w:t xml:space="preserve">6 / 14</w:t>
            </w:r>
          </w:p>
        </w:tc>
        <w:tc>
          <w:tcPr/>
          <w:p>
            <w:pPr>
              <w:pStyle w:val="Compact"/>
              <w:jc w:val="center"/>
            </w:pPr>
            <w:r>
              <w:t xml:space="preserve">0 / 0</w:t>
            </w:r>
          </w:p>
        </w:tc>
        <w:tc>
          <w:tcPr/>
          <w:p>
            <w:pPr>
              <w:pStyle w:val="Compact"/>
              <w:jc w:val="center"/>
            </w:pPr>
            <w:r>
              <w:t xml:space="preserve">0 / 0</w:t>
            </w:r>
          </w:p>
        </w:tc>
        <w:tc>
          <w:tcPr/>
          <w:p>
            <w:pPr>
              <w:pStyle w:val="Compact"/>
              <w:jc w:val="center"/>
            </w:pPr>
            <w:r>
              <w:t xml:space="preserve">4 / 10</w:t>
            </w:r>
          </w:p>
        </w:tc>
        <w:tc>
          <w:tcPr/>
          <w:p>
            <w:pPr>
              <w:pStyle w:val="Compact"/>
              <w:jc w:val="center"/>
            </w:pPr>
            <w:r>
              <w:rPr>
                <w:b/>
                <w:bCs/>
              </w:rPr>
              <w:t xml:space="preserve">10</w:t>
            </w:r>
          </w:p>
        </w:tc>
        <w:tc>
          <w:tcPr/>
          <w:p>
            <w:pPr>
              <w:pStyle w:val="Compact"/>
              <w:jc w:val="center"/>
            </w:pPr>
            <w:r>
              <w:rPr>
                <w:b/>
                <w:bCs/>
              </w:rPr>
              <w:t xml:space="preserve">24</w:t>
            </w:r>
          </w:p>
        </w:tc>
        <w:tc>
          <w:tcPr/>
          <w:p>
            <w:pPr>
              <w:pStyle w:val="Compact"/>
              <w:jc w:val="center"/>
            </w:pPr>
            <w:r>
              <w:rPr>
                <w:b/>
                <w:bCs/>
              </w:rPr>
              <w:t xml:space="preserve">27,40</w:t>
            </w:r>
          </w:p>
        </w:tc>
      </w:tr>
      <w:tr>
        <w:tc>
          <w:tcPr/>
          <w:p>
            <w:pPr>
              <w:pStyle w:val="Compact"/>
              <w:jc w:val="center"/>
            </w:pPr>
            <w:r>
              <w:t xml:space="preserve">8</w:t>
            </w:r>
          </w:p>
        </w:tc>
        <w:tc>
          <w:tcPr/>
          <w:p>
            <w:pPr>
              <w:pStyle w:val="Compact"/>
              <w:jc w:val="left"/>
            </w:pPr>
            <w:r>
              <w:t xml:space="preserve">Khoa học &amp; KT Máy tính</w:t>
            </w:r>
          </w:p>
        </w:tc>
        <w:tc>
          <w:tcPr/>
          <w:p>
            <w:pPr>
              <w:pStyle w:val="Compact"/>
              <w:jc w:val="center"/>
            </w:pPr>
            <w:r>
              <w:t xml:space="preserve">- / 70-100</w:t>
            </w:r>
          </w:p>
        </w:tc>
        <w:tc>
          <w:tcPr/>
          <w:p>
            <w:pPr>
              <w:pStyle w:val="Compact"/>
              <w:jc w:val="center"/>
            </w:pPr>
            <w:r>
              <w:t xml:space="preserve">- / -</w:t>
            </w:r>
          </w:p>
        </w:tc>
        <w:tc>
          <w:tcPr/>
          <w:p>
            <w:pPr>
              <w:pStyle w:val="Compact"/>
              <w:jc w:val="center"/>
            </w:pPr>
            <w:r>
              <w:t xml:space="preserve">- / -</w:t>
            </w:r>
          </w:p>
        </w:tc>
        <w:tc>
          <w:tcPr/>
          <w:p>
            <w:pPr>
              <w:pStyle w:val="Compact"/>
              <w:jc w:val="center"/>
            </w:pPr>
            <w:r>
              <w:t xml:space="preserve">- / -</w:t>
            </w:r>
          </w:p>
        </w:tc>
        <w:tc>
          <w:tcPr/>
          <w:p>
            <w:pPr>
              <w:pStyle w:val="Compact"/>
              <w:jc w:val="center"/>
            </w:pPr>
            <w:r>
              <w:rPr>
                <w:b/>
                <w:bCs/>
              </w:rPr>
              <w:t xml:space="preserve">-</w:t>
            </w:r>
          </w:p>
        </w:tc>
        <w:tc>
          <w:tcPr/>
          <w:p>
            <w:pPr>
              <w:pStyle w:val="Compact"/>
              <w:jc w:val="center"/>
            </w:pPr>
            <w:r>
              <w:rPr>
                <w:b/>
                <w:bCs/>
              </w:rPr>
              <w:t xml:space="preserve">70 - 100</w:t>
            </w:r>
          </w:p>
        </w:tc>
        <w:tc>
          <w:tcPr/>
          <w:p>
            <w:pPr>
              <w:pStyle w:val="Compact"/>
              <w:jc w:val="center"/>
            </w:pPr>
            <w:r>
              <w:rPr>
                <w:b/>
                <w:bCs/>
              </w:rPr>
              <w:t xml:space="preserve">1.096,50</w:t>
            </w:r>
          </w:p>
        </w:tc>
      </w:tr>
      <w:tr>
        <w:tc>
          <w:tcPr/>
          <w:p>
            <w:pPr>
              <w:pStyle w:val="Compact"/>
              <w:jc w:val="center"/>
            </w:pPr>
            <w:r>
              <w:t xml:space="preserve">9</w:t>
            </w:r>
          </w:p>
        </w:tc>
        <w:tc>
          <w:tcPr/>
          <w:p>
            <w:pPr>
              <w:pStyle w:val="Compact"/>
              <w:jc w:val="left"/>
            </w:pPr>
            <w:r>
              <w:t xml:space="preserve">Quản lý Công nghiệp</w:t>
            </w:r>
          </w:p>
        </w:tc>
        <w:tc>
          <w:tcPr/>
          <w:p>
            <w:pPr>
              <w:pStyle w:val="Compact"/>
              <w:jc w:val="center"/>
            </w:pPr>
            <w:r>
              <w:t xml:space="preserve">11 / 31</w:t>
            </w:r>
          </w:p>
        </w:tc>
        <w:tc>
          <w:tcPr/>
          <w:p>
            <w:pPr>
              <w:pStyle w:val="Compact"/>
              <w:jc w:val="center"/>
            </w:pPr>
            <w:r>
              <w:t xml:space="preserve">7 / 16</w:t>
            </w:r>
          </w:p>
        </w:tc>
        <w:tc>
          <w:tcPr/>
          <w:p>
            <w:pPr>
              <w:pStyle w:val="Compact"/>
              <w:jc w:val="center"/>
            </w:pPr>
            <w:r>
              <w:t xml:space="preserve">0 / 0</w:t>
            </w:r>
          </w:p>
        </w:tc>
        <w:tc>
          <w:tcPr/>
          <w:p>
            <w:pPr>
              <w:pStyle w:val="Compact"/>
              <w:jc w:val="center"/>
            </w:pPr>
            <w:r>
              <w:t xml:space="preserve">14 / 24</w:t>
            </w:r>
          </w:p>
        </w:tc>
        <w:tc>
          <w:tcPr/>
          <w:p>
            <w:pPr>
              <w:pStyle w:val="Compact"/>
              <w:jc w:val="center"/>
            </w:pPr>
            <w:r>
              <w:rPr>
                <w:b/>
                <w:bCs/>
              </w:rPr>
              <w:t xml:space="preserve">32</w:t>
            </w:r>
          </w:p>
        </w:tc>
        <w:tc>
          <w:tcPr/>
          <w:p>
            <w:pPr>
              <w:pStyle w:val="Compact"/>
              <w:jc w:val="center"/>
            </w:pPr>
            <w:r>
              <w:rPr>
                <w:b/>
                <w:bCs/>
              </w:rPr>
              <w:t xml:space="preserve">71</w:t>
            </w:r>
          </w:p>
        </w:tc>
        <w:tc>
          <w:tcPr/>
          <w:p>
            <w:pPr>
              <w:pStyle w:val="Compact"/>
              <w:jc w:val="center"/>
            </w:pPr>
            <w:r>
              <w:rPr>
                <w:b/>
                <w:bCs/>
              </w:rPr>
              <w:t xml:space="preserve">Chưa rõ</w:t>
            </w:r>
          </w:p>
        </w:tc>
      </w:tr>
      <w:tr>
        <w:tc>
          <w:tcPr/>
          <w:p>
            <w:pPr>
              <w:pStyle w:val="Compact"/>
              <w:jc w:val="center"/>
            </w:pPr>
            <w:r>
              <w:t xml:space="preserve">10</w:t>
            </w:r>
          </w:p>
        </w:tc>
        <w:tc>
          <w:tcPr/>
          <w:p>
            <w:pPr>
              <w:pStyle w:val="Compact"/>
              <w:jc w:val="left"/>
            </w:pPr>
            <w:r>
              <w:t xml:space="preserve">Kỹ thuật Hóa học</w:t>
            </w:r>
          </w:p>
        </w:tc>
        <w:tc>
          <w:tcPr/>
          <w:p>
            <w:pPr>
              <w:pStyle w:val="Compact"/>
              <w:jc w:val="center"/>
            </w:pPr>
            <w:r>
              <w:t xml:space="preserve">30-50 / 200-300</w:t>
            </w:r>
          </w:p>
        </w:tc>
        <w:tc>
          <w:tcPr/>
          <w:p>
            <w:pPr>
              <w:pStyle w:val="Compact"/>
              <w:jc w:val="center"/>
            </w:pPr>
            <w:r>
              <w:t xml:space="preserve">0 / 0</w:t>
            </w:r>
          </w:p>
        </w:tc>
        <w:tc>
          <w:tcPr/>
          <w:p>
            <w:pPr>
              <w:pStyle w:val="Compact"/>
              <w:jc w:val="center"/>
            </w:pPr>
            <w:r>
              <w:t xml:space="preserve">0 / 0</w:t>
            </w:r>
          </w:p>
        </w:tc>
        <w:tc>
          <w:tcPr/>
          <w:p>
            <w:pPr>
              <w:pStyle w:val="Compact"/>
              <w:jc w:val="center"/>
            </w:pPr>
            <w:r>
              <w:t xml:space="preserve">0 / 0</w:t>
            </w:r>
          </w:p>
        </w:tc>
        <w:tc>
          <w:tcPr/>
          <w:p>
            <w:pPr>
              <w:pStyle w:val="Compact"/>
              <w:jc w:val="center"/>
            </w:pPr>
            <w:r>
              <w:rPr>
                <w:b/>
                <w:bCs/>
              </w:rPr>
              <w:t xml:space="preserve">30 - 50</w:t>
            </w:r>
          </w:p>
        </w:tc>
        <w:tc>
          <w:tcPr/>
          <w:p>
            <w:pPr>
              <w:pStyle w:val="Compact"/>
              <w:jc w:val="center"/>
            </w:pPr>
            <w:r>
              <w:rPr>
                <w:b/>
                <w:bCs/>
              </w:rPr>
              <w:t xml:space="preserve">200 - 300</w:t>
            </w:r>
          </w:p>
        </w:tc>
        <w:tc>
          <w:tcPr/>
          <w:p>
            <w:pPr>
              <w:pStyle w:val="Compact"/>
              <w:jc w:val="center"/>
            </w:pPr>
            <w:r>
              <w:rPr>
                <w:b/>
                <w:bCs/>
              </w:rPr>
              <w:t xml:space="preserve">848,70</w:t>
            </w:r>
          </w:p>
        </w:tc>
      </w:tr>
      <w:tr>
        <w:tc>
          <w:tcPr/>
          <w:p>
            <w:pPr>
              <w:pStyle w:val="Compact"/>
            </w:pPr>
          </w:p>
        </w:tc>
        <w:tc>
          <w:tcPr/>
          <w:p>
            <w:pPr>
              <w:pStyle w:val="Compact"/>
              <w:jc w:val="left"/>
            </w:pPr>
            <w:r>
              <w:rPr>
                <w:b/>
                <w:bCs/>
              </w:rPr>
              <w:t xml:space="preserve">TỔNG CỘNG</w:t>
            </w:r>
          </w:p>
        </w:tc>
        <w:tc>
          <w:tcPr/>
          <w:p>
            <w:pPr>
              <w:pStyle w:val="Compact"/>
              <w:jc w:val="center"/>
            </w:pPr>
            <w:r>
              <w:rPr>
                <w:b/>
                <w:bCs/>
              </w:rPr>
              <w:t xml:space="preserve">140+ / 574+</w:t>
            </w:r>
          </w:p>
        </w:tc>
        <w:tc>
          <w:tcPr/>
          <w:p>
            <w:pPr>
              <w:pStyle w:val="Compact"/>
              <w:jc w:val="center"/>
            </w:pPr>
            <w:r>
              <w:rPr>
                <w:b/>
                <w:bCs/>
              </w:rPr>
              <w:t xml:space="preserve">25+ / 49</w:t>
            </w:r>
          </w:p>
        </w:tc>
        <w:tc>
          <w:tcPr/>
          <w:p>
            <w:pPr>
              <w:pStyle w:val="Compact"/>
              <w:jc w:val="center"/>
            </w:pPr>
            <w:r>
              <w:rPr>
                <w:b/>
                <w:bCs/>
              </w:rPr>
              <w:t xml:space="preserve">26 / 72</w:t>
            </w:r>
          </w:p>
        </w:tc>
        <w:tc>
          <w:tcPr/>
          <w:p>
            <w:pPr>
              <w:pStyle w:val="Compact"/>
              <w:jc w:val="center"/>
            </w:pPr>
            <w:r>
              <w:rPr>
                <w:b/>
                <w:bCs/>
              </w:rPr>
              <w:t xml:space="preserve">44 / 78</w:t>
            </w:r>
          </w:p>
        </w:tc>
        <w:tc>
          <w:tcPr/>
          <w:p>
            <w:pPr>
              <w:pStyle w:val="Compact"/>
              <w:jc w:val="center"/>
            </w:pPr>
            <w:r>
              <w:rPr>
                <w:b/>
                <w:bCs/>
              </w:rPr>
              <w:t xml:space="preserve">235+</w:t>
            </w:r>
          </w:p>
        </w:tc>
        <w:tc>
          <w:tcPr/>
          <w:p>
            <w:pPr>
              <w:pStyle w:val="Compact"/>
              <w:jc w:val="center"/>
            </w:pPr>
            <w:r>
              <w:rPr>
                <w:b/>
                <w:bCs/>
              </w:rPr>
              <w:t xml:space="preserve">973+</w:t>
            </w:r>
          </w:p>
        </w:tc>
        <w:tc>
          <w:tcPr/>
          <w:p>
            <w:pPr>
              <w:pStyle w:val="Compact"/>
              <w:jc w:val="center"/>
            </w:pPr>
            <w:r>
              <w:rPr>
                <w:b/>
                <w:bCs/>
              </w:rPr>
              <w:t xml:space="preserve">4.311,25</w:t>
            </w:r>
          </w:p>
        </w:tc>
      </w:tr>
    </w:tbl>
    <w:p>
      <w:pPr>
        <w:pStyle w:val="BodyText"/>
      </w:pPr>
      <w:r>
        <w:rPr>
          <w:i/>
          <w:iCs/>
        </w:rPr>
        <w:t xml:space="preserve">Ghi chú</w:t>
      </w:r>
      <w:r>
        <w:t xml:space="preserve">:</w:t>
      </w:r>
      <w:r>
        <w:t xml:space="preserve"> </w:t>
      </w:r>
      <w:r>
        <w:t xml:space="preserve">* Các ô có ký tự</w:t>
      </w:r>
      <w:r>
        <w:t xml:space="preserve"> </w:t>
      </w:r>
      <w:r>
        <w:rPr>
          <w:rStyle w:val="VerbatimChar"/>
        </w:rPr>
        <w:t xml:space="preserve">-</w:t>
      </w:r>
      <w:r>
        <w:t xml:space="preserve"> </w:t>
      </w:r>
      <w:r>
        <w:t xml:space="preserve">biểu thị thông tin chưa được phân rã chi tiết trong kế hoạch gửi về của khoa.</w:t>
      </w:r>
      <w:r>
        <w:t xml:space="preserve"> </w:t>
      </w:r>
      <w:r>
        <w:t xml:space="preserve">* Tổng kinh phí chưa tính kinh phí của Khoa Quản lý Công nghiệp (do khoa chưa gửi con số phân bổ cụ thể).</w:t>
      </w:r>
      <w:r>
        <w:t xml:space="preserve"> </w:t>
      </w:r>
      <w:r>
        <w:t xml:space="preserve">* Số lượng đề tài/sinh viên của Khoa Cơ khí và Kỹ thuật Hóa học được tính theo định biên mục tiêu tối thiểu.</w:t>
      </w:r>
    </w:p>
    <w:p>
      <w:r>
        <w:pict>
          <v:rect style="width:0;height:1.5pt" o:hralign="center" o:hrstd="t" o:hr="t"/>
        </w:pict>
      </w:r>
    </w:p>
    <w:bookmarkEnd w:id="10"/>
    <w:bookmarkStart w:id="13" w:name="X75f43445b8c3b664e33033b7de74ffdd0e5e7f4"/>
    <w:p>
      <w:pPr>
        <w:pStyle w:val="Heading2"/>
      </w:pPr>
      <w:r>
        <w:t xml:space="preserve">III. KẾ HOẠCH MUA SẮM NGUYÊN VẬT LIỆU, LINH KIỆN VÀ HÓA CHẤT</w:t>
      </w:r>
    </w:p>
    <w:p>
      <w:pPr>
        <w:pStyle w:val="FirstParagraph"/>
      </w:pPr>
      <w:r>
        <w:t xml:space="preserve">Các đề tài NCKH sinh viên phần lớn đều có nhu cầu mua sắm vật tư, linh kiện, hóa chất phục vụ cho thực nghiệm và chế tạo mô hình. Dưới đây là tổng hợp nhu cầu kinh phí và danh mục mua sắm tiêu biểu:</w:t>
      </w:r>
    </w:p>
    <w:bookmarkStart w:id="11" w:name="X2521ca8bd399be3a550c22529650b33c4e6f5bf"/>
    <w:p>
      <w:pPr>
        <w:pStyle w:val="Heading3"/>
      </w:pPr>
      <w:r>
        <w:t xml:space="preserve">1. Tổng hợp kinh phí mua sắm theo đề xuất của các khoa</w:t>
      </w:r>
    </w:p>
    <w:p>
      <w:pPr>
        <w:pStyle w:val="Compact"/>
        <w:numPr>
          <w:ilvl w:val="0"/>
          <w:numId w:val="1011"/>
        </w:numPr>
      </w:pPr>
      <w:r>
        <w:rPr>
          <w:b/>
          <w:bCs/>
        </w:rPr>
        <w:t xml:space="preserve">Khoa Cơ khí</w:t>
      </w:r>
      <w:r>
        <w:t xml:space="preserve">: Dự kiến dành</w:t>
      </w:r>
      <w:r>
        <w:t xml:space="preserve"> </w:t>
      </w:r>
      <w:r>
        <w:rPr>
          <w:b/>
          <w:bCs/>
        </w:rPr>
        <w:t xml:space="preserve">670 triệu đồng</w:t>
      </w:r>
      <w:r>
        <w:t xml:space="preserve"> </w:t>
      </w:r>
      <w:r>
        <w:t xml:space="preserve">(chiếm 60% tổng kinh phí được phân bổ) cho công tác mua sắm vật tư, linh kiện và gia công chế tạo.</w:t>
      </w:r>
    </w:p>
    <w:p>
      <w:pPr>
        <w:pStyle w:val="Compact"/>
        <w:numPr>
          <w:ilvl w:val="0"/>
          <w:numId w:val="1011"/>
        </w:numPr>
      </w:pPr>
      <w:r>
        <w:rPr>
          <w:b/>
          <w:bCs/>
        </w:rPr>
        <w:t xml:space="preserve">Khoa Khoa học &amp; Kỹ thuật Máy tính</w:t>
      </w:r>
      <w:r>
        <w:t xml:space="preserve">: Dự kiến dành</w:t>
      </w:r>
      <w:r>
        <w:t xml:space="preserve"> </w:t>
      </w:r>
      <w:r>
        <w:rPr>
          <w:b/>
          <w:bCs/>
        </w:rPr>
        <w:t xml:space="preserve">596 triệu đồng</w:t>
      </w:r>
      <w:r>
        <w:t xml:space="preserve"> </w:t>
      </w:r>
      <w:r>
        <w:t xml:space="preserve">(chiếm 54% tổng kinh phí) cho mua sắm thiết bị phần cứng, linh kiện điện tử và bản quyền phần mềm nghiên cứu.</w:t>
      </w:r>
    </w:p>
    <w:p>
      <w:pPr>
        <w:pStyle w:val="Compact"/>
        <w:numPr>
          <w:ilvl w:val="0"/>
          <w:numId w:val="1011"/>
        </w:numPr>
      </w:pPr>
      <w:r>
        <w:rPr>
          <w:b/>
          <w:bCs/>
        </w:rPr>
        <w:t xml:space="preserve">Khoa Kỹ thuật Hóa học</w:t>
      </w:r>
      <w:r>
        <w:t xml:space="preserve">: Dự kiến dành</w:t>
      </w:r>
      <w:r>
        <w:t xml:space="preserve"> </w:t>
      </w:r>
      <w:r>
        <w:rPr>
          <w:b/>
          <w:bCs/>
        </w:rPr>
        <w:t xml:space="preserve">500 triệu đồng</w:t>
      </w:r>
      <w:r>
        <w:t xml:space="preserve"> </w:t>
      </w:r>
      <w:r>
        <w:t xml:space="preserve">(chiếm 60% tổng kinh phí) cho hóa chất tinh khiết, dụng cụ thủy tinh phòng thí nghiệm và thiết bị phụ trợ.</w:t>
      </w:r>
    </w:p>
    <w:p>
      <w:pPr>
        <w:pStyle w:val="Compact"/>
        <w:numPr>
          <w:ilvl w:val="0"/>
          <w:numId w:val="1011"/>
        </w:numPr>
      </w:pPr>
      <w:r>
        <w:rPr>
          <w:b/>
          <w:bCs/>
        </w:rPr>
        <w:t xml:space="preserve">Khoa Kỹ thuật Địa chất &amp; Dầu khí</w:t>
      </w:r>
      <w:r>
        <w:t xml:space="preserve">: Đăng ký danh mục mua sắm chi tiết trị giá</w:t>
      </w:r>
      <w:r>
        <w:t xml:space="preserve"> </w:t>
      </w:r>
      <w:r>
        <w:rPr>
          <w:b/>
          <w:bCs/>
        </w:rPr>
        <w:t xml:space="preserve">263,55 triệu đồng</w:t>
      </w:r>
      <w:r>
        <w:t xml:space="preserve">.</w:t>
      </w:r>
    </w:p>
    <w:p>
      <w:pPr>
        <w:pStyle w:val="Compact"/>
        <w:numPr>
          <w:ilvl w:val="0"/>
          <w:numId w:val="1011"/>
        </w:numPr>
      </w:pPr>
      <w:r>
        <w:rPr>
          <w:b/>
          <w:bCs/>
        </w:rPr>
        <w:t xml:space="preserve">Khoa Công nghệ Vật liệu</w:t>
      </w:r>
      <w:r>
        <w:t xml:space="preserve">: Đăng ký danh mục mua sắm chi tiết trị giá</w:t>
      </w:r>
      <w:r>
        <w:t xml:space="preserve"> </w:t>
      </w:r>
      <w:r>
        <w:rPr>
          <w:b/>
          <w:bCs/>
        </w:rPr>
        <w:t xml:space="preserve">112,05 triệu đồng</w:t>
      </w:r>
      <w:r>
        <w:t xml:space="preserve"> </w:t>
      </w:r>
      <w:r>
        <w:t xml:space="preserve">(trong tổng đăng ký nhu cầu thực tế là 112,05 triệu đồng).</w:t>
      </w:r>
    </w:p>
    <w:p>
      <w:pPr>
        <w:pStyle w:val="Compact"/>
        <w:numPr>
          <w:ilvl w:val="0"/>
          <w:numId w:val="1011"/>
        </w:numPr>
      </w:pPr>
      <w:r>
        <w:rPr>
          <w:b/>
          <w:bCs/>
        </w:rPr>
        <w:t xml:space="preserve">Khoa Môi trường và Tài nguyên</w:t>
      </w:r>
      <w:r>
        <w:t xml:space="preserve">: Đăng ký danh mục mua sắm chi tiết trị giá</w:t>
      </w:r>
      <w:r>
        <w:t xml:space="preserve"> </w:t>
      </w:r>
      <w:r>
        <w:rPr>
          <w:b/>
          <w:bCs/>
        </w:rPr>
        <w:t xml:space="preserve">67,27 triệu đồng</w:t>
      </w:r>
      <w:r>
        <w:t xml:space="preserve"> </w:t>
      </w:r>
      <w:r>
        <w:t xml:space="preserve">(Trường duyệt phân bổ thực tế là 27,4 triệu đồng).</w:t>
      </w:r>
    </w:p>
    <w:bookmarkEnd w:id="11"/>
    <w:bookmarkStart w:id="12" w:name="X484588a2c5826090fab36d02f8aa2eca3c50611"/>
    <w:p>
      <w:pPr>
        <w:pStyle w:val="Heading3"/>
      </w:pPr>
      <w:r>
        <w:t xml:space="preserve">2. Danh mục mua sắm chi tiết tiêu biểu của các nhóm nghiên cứu</w:t>
      </w:r>
    </w:p>
    <w:p>
      <w:pPr>
        <w:pStyle w:val="Compact"/>
        <w:numPr>
          <w:ilvl w:val="0"/>
          <w:numId w:val="1012"/>
        </w:numPr>
      </w:pPr>
      <w:r>
        <w:rPr>
          <w:b/>
          <w:bCs/>
        </w:rPr>
        <w:t xml:space="preserve">Vật tư cơ khí, điện tử và tự động hóa (Khoa Cơ khí, Giao thông, Máy tính)</w:t>
      </w:r>
      <w:r>
        <w:t xml:space="preserve">:</w:t>
      </w:r>
    </w:p>
    <w:p>
      <w:pPr>
        <w:pStyle w:val="Compact"/>
        <w:numPr>
          <w:ilvl w:val="1"/>
          <w:numId w:val="1013"/>
        </w:numPr>
      </w:pPr>
      <w:r>
        <w:t xml:space="preserve">Linh kiện điện tử chuyên dụng: Vi điều khiển nhúng trên UAV, ESP32, mạch Arduino, cảm biến đo lực, cảm biến khoảng cách, cảm biến IMU, module truyền thông, module GPS, camera nhận diện hình ảnh.</w:t>
      </w:r>
    </w:p>
    <w:p>
      <w:pPr>
        <w:pStyle w:val="Compact"/>
        <w:numPr>
          <w:ilvl w:val="1"/>
          <w:numId w:val="1013"/>
        </w:numPr>
      </w:pPr>
      <w:r>
        <w:t xml:space="preserve">Vật liệu cơ khí chế tạo: Nhôm định hình, thép tấm, nhựa in 3D chuyên dụng, sợi carbon, vật liệu composite chịu lực cao dùng chế tạo vỏ khung xe tự hành, cánh sóng và các cụm thử nghiệm robot.</w:t>
      </w:r>
    </w:p>
    <w:p>
      <w:pPr>
        <w:pStyle w:val="Compact"/>
        <w:numPr>
          <w:ilvl w:val="0"/>
          <w:numId w:val="1012"/>
        </w:numPr>
      </w:pPr>
      <w:r>
        <w:rPr>
          <w:b/>
          <w:bCs/>
        </w:rPr>
        <w:t xml:space="preserve">Hóa chất và vật liệu sinh học (Khoa Kỹ thuật Hóa học, Công nghệ Vật liệu, Môi trường, Khoa học Ứng dụng)</w:t>
      </w:r>
      <w:r>
        <w:t xml:space="preserve">:</w:t>
      </w:r>
    </w:p>
    <w:p>
      <w:pPr>
        <w:pStyle w:val="Compact"/>
        <w:numPr>
          <w:ilvl w:val="1"/>
          <w:numId w:val="1014"/>
        </w:numPr>
      </w:pPr>
      <w:r>
        <w:t xml:space="preserve">Hóa chất phân tích &amp; tổng hợp xúc tác: Hóa chất tinh khiết KOH, PVA, NaOH, H₂SO₄, HNO₃, cồn công nghiệp 96-98%, dung dịch Nafion 1100EW, các muối mangan(II) clorua MnCl2, thiếc(IV) clorua, đồng sunfat, sắt sunfat, boric acid, natri thiosunfat, amoni molybdat cấp AR.</w:t>
      </w:r>
    </w:p>
    <w:p>
      <w:pPr>
        <w:pStyle w:val="Compact"/>
        <w:numPr>
          <w:ilvl w:val="1"/>
          <w:numId w:val="1014"/>
        </w:numPr>
      </w:pPr>
      <w:r>
        <w:t xml:space="preserve">Thiết bị phụ trợ và dụng cụ thủy tinh: Điện cực glassy carbon chữ L 6mm, micropipette kích thước 0.5-10 uL và 100-1000uL, hộp đựng tip nhựa polypropylene kháng hóa chất, chén nung sứ và nung kim loại 100cc, màng bọc cao su chịu lực, giấy lọc, dây o-ring làm kín.</w:t>
      </w:r>
    </w:p>
    <w:p>
      <w:pPr>
        <w:pStyle w:val="Compact"/>
        <w:numPr>
          <w:ilvl w:val="0"/>
          <w:numId w:val="1012"/>
        </w:numPr>
      </w:pPr>
      <w:r>
        <w:rPr>
          <w:b/>
          <w:bCs/>
        </w:rPr>
        <w:t xml:space="preserve">Thành phần thiết bị đo lường và khảo sát (Khoa Địa chất &amp; Dầu khí, Khoa học Ứng dụng)</w:t>
      </w:r>
      <w:r>
        <w:t xml:space="preserve">:</w:t>
      </w:r>
    </w:p>
    <w:p>
      <w:pPr>
        <w:pStyle w:val="Compact"/>
        <w:numPr>
          <w:ilvl w:val="1"/>
          <w:numId w:val="1015"/>
        </w:numPr>
      </w:pPr>
      <w:r>
        <w:t xml:space="preserve">Thiết bị quang học đo biến dạng: Ống kính macro chuyên dụng lắp trên camera đo biến dạng mẫu đá, đèn flash công suất lớn, tripod chịu tải cao.</w:t>
      </w:r>
    </w:p>
    <w:p>
      <w:pPr>
        <w:pStyle w:val="Compact"/>
        <w:numPr>
          <w:ilvl w:val="1"/>
          <w:numId w:val="1015"/>
        </w:numPr>
      </w:pPr>
      <w:r>
        <w:t xml:space="preserve">Thiết bị y sinh và y học: Gel tẩy da NuPrep, gel kết nối điện cực đo điện não Ten20 phục vụ phân tích tín hiệu EEG, thiết bị đo sinh tồn (PPG).</w:t>
      </w:r>
    </w:p>
    <w:p>
      <w:r>
        <w:pict>
          <v:rect style="width:0;height:1.5pt" o:hralign="center" o:hrstd="t" o:hr="t"/>
        </w:pict>
      </w:r>
    </w:p>
    <w:bookmarkEnd w:id="12"/>
    <w:bookmarkEnd w:id="13"/>
    <w:bookmarkStart w:id="17" w:name="X47dd4feccb122b71a6a24d5328ecb1b17d45d26"/>
    <w:p>
      <w:pPr>
        <w:pStyle w:val="Heading2"/>
      </w:pPr>
      <w:r>
        <w:t xml:space="preserve">IV. ĐỊNH HƯỚNG CÔNG BỐ KHOA HỌC VÀ BÁO CÁO HỘI NGHỊ, HỘI THẢO</w:t>
      </w:r>
    </w:p>
    <w:p>
      <w:pPr>
        <w:pStyle w:val="FirstParagraph"/>
      </w:pPr>
      <w:r>
        <w:t xml:space="preserve">Công bố khoa học và tham gia các cuộc thi học thuật là sản phẩm đầu ra bắt buộc của hoạt động NCKH &amp; ĐMST sinh viên năm 2026:</w:t>
      </w:r>
    </w:p>
    <w:bookmarkStart w:id="14" w:name="định-hướng-xuất-bản-bài-báo-khoa-học"/>
    <w:p>
      <w:pPr>
        <w:pStyle w:val="Heading3"/>
      </w:pPr>
      <w:r>
        <w:t xml:space="preserve">1. Định hướng xuất bản bài báo khoa học</w:t>
      </w:r>
    </w:p>
    <w:p>
      <w:pPr>
        <w:pStyle w:val="Compact"/>
        <w:numPr>
          <w:ilvl w:val="0"/>
          <w:numId w:val="1016"/>
        </w:numPr>
      </w:pPr>
      <w:r>
        <w:rPr>
          <w:b/>
          <w:bCs/>
        </w:rPr>
        <w:t xml:space="preserve">Khoa KH&amp;KT Máy tính</w:t>
      </w:r>
      <w:r>
        <w:t xml:space="preserve">: Định hướng bài báo được chấp nhận đăng tại các hội thảo/hội nghị uy tín thuộc danh mục IEEE, Springer, ACM; tạp chí thuộc danh mục Scopus hoặc tạp chí chuyên ngành được Hội đồng Chức danh Giáo sư Nhà nước (HDCDGSNN) tính điểm.</w:t>
      </w:r>
    </w:p>
    <w:p>
      <w:pPr>
        <w:pStyle w:val="Compact"/>
        <w:numPr>
          <w:ilvl w:val="0"/>
          <w:numId w:val="1016"/>
        </w:numPr>
      </w:pPr>
      <w:r>
        <w:rPr>
          <w:b/>
          <w:bCs/>
        </w:rPr>
        <w:t xml:space="preserve">Khoa Kỹ thuật Địa chất &amp; Dầu khí</w:t>
      </w:r>
      <w:r>
        <w:t xml:space="preserve">: Cam kết đầu ra gồm ít nhất 01 bài báo tạp chí quốc tế thuộc danh mục Scopus Q3 và 01 báo cáo tại Hội nghị khoa học quốc tế.</w:t>
      </w:r>
    </w:p>
    <w:p>
      <w:pPr>
        <w:pStyle w:val="Compact"/>
        <w:numPr>
          <w:ilvl w:val="0"/>
          <w:numId w:val="1016"/>
        </w:numPr>
      </w:pPr>
      <w:r>
        <w:rPr>
          <w:b/>
          <w:bCs/>
        </w:rPr>
        <w:t xml:space="preserve">Khoa Quản lý Công nghiệp</w:t>
      </w:r>
      <w:r>
        <w:t xml:space="preserve">: Định hướng bài báo đăng tại các tạp chí trong danh mục HDCDGSNN, kỷ yếu hội nghị quốc tế và tạp chí Scopus Q4.</w:t>
      </w:r>
    </w:p>
    <w:p>
      <w:pPr>
        <w:pStyle w:val="Compact"/>
        <w:numPr>
          <w:ilvl w:val="0"/>
          <w:numId w:val="1016"/>
        </w:numPr>
      </w:pPr>
      <w:r>
        <w:rPr>
          <w:b/>
          <w:bCs/>
        </w:rPr>
        <w:t xml:space="preserve">Khoa Công nghệ Vật liệu &amp; Kỹ thuật Hóa học</w:t>
      </w:r>
      <w:r>
        <w:t xml:space="preserve">: Bài báo gửi đăng tạp chí chuyên ngành trong nước/quốc tế và báo cáo poster tại Ngày hội kỹ thuật cấp khoa.</w:t>
      </w:r>
    </w:p>
    <w:bookmarkEnd w:id="14"/>
    <w:bookmarkStart w:id="15" w:name="X8e136628242fee2c02d3486c0c617cf8f62b5c3"/>
    <w:p>
      <w:pPr>
        <w:pStyle w:val="Heading3"/>
      </w:pPr>
      <w:r>
        <w:t xml:space="preserve">2. Định hướng tham gia các cuộc thi học thuật lớn</w:t>
      </w:r>
    </w:p>
    <w:p>
      <w:pPr>
        <w:pStyle w:val="Compact"/>
        <w:numPr>
          <w:ilvl w:val="0"/>
          <w:numId w:val="1017"/>
        </w:numPr>
      </w:pPr>
      <w:r>
        <w:t xml:space="preserve">Định hướng đưa các sản phẩm nghiên cứu thực tế tham gia tranh tài tại các cuộc thi công nghệ và học thuật uy tín như Huawei ICT Competition, Robocon, BK Innovation, Giải thưởng Khoa học và Công nghệ dành cho sinh viên trong các cơ sở giáo dục Đại học của Bộ GD&amp;ĐT, và Liên hoan Tuổi trẻ Sáng tạo.</w:t>
      </w:r>
    </w:p>
    <w:bookmarkEnd w:id="15"/>
    <w:bookmarkStart w:id="16" w:name="X1e7e5daaa15f7c9359db3e906cb2c9891088cb1"/>
    <w:p>
      <w:pPr>
        <w:pStyle w:val="Heading3"/>
      </w:pPr>
      <w:r>
        <w:t xml:space="preserve">3. Tổng hợp kinh phí dành cho Hội nghị, Hội thảo (HN, HT)</w:t>
      </w:r>
    </w:p>
    <w:p>
      <w:pPr>
        <w:pStyle w:val="Compact"/>
        <w:numPr>
          <w:ilvl w:val="0"/>
          <w:numId w:val="1018"/>
        </w:numPr>
      </w:pPr>
      <w:r>
        <w:rPr>
          <w:b/>
          <w:bCs/>
        </w:rPr>
        <w:t xml:space="preserve">Khoa KH&amp;KT Máy tính</w:t>
      </w:r>
      <w:r>
        <w:t xml:space="preserve">: Dành riêng</w:t>
      </w:r>
      <w:r>
        <w:t xml:space="preserve"> </w:t>
      </w:r>
      <w:r>
        <w:rPr>
          <w:b/>
          <w:bCs/>
        </w:rPr>
        <w:t xml:space="preserve">410 triệu đồng</w:t>
      </w:r>
      <w:r>
        <w:t xml:space="preserve"> </w:t>
      </w:r>
      <w:r>
        <w:t xml:space="preserve">(~37% tổng kinh phí) để tài trợ chi phí đăng bài báo, lệ phí hội nghị và chi phí đi lại, ăn ở cho sinh viên báo cáo.</w:t>
      </w:r>
    </w:p>
    <w:p>
      <w:pPr>
        <w:pStyle w:val="Compact"/>
        <w:numPr>
          <w:ilvl w:val="0"/>
          <w:numId w:val="1018"/>
        </w:numPr>
      </w:pPr>
      <w:r>
        <w:rPr>
          <w:b/>
          <w:bCs/>
        </w:rPr>
        <w:t xml:space="preserve">Khoa Kỹ thuật Hóa học</w:t>
      </w:r>
      <w:r>
        <w:t xml:space="preserve">: Dành</w:t>
      </w:r>
      <w:r>
        <w:t xml:space="preserve"> </w:t>
      </w:r>
      <w:r>
        <w:rPr>
          <w:b/>
          <w:bCs/>
        </w:rPr>
        <w:t xml:space="preserve">265 triệu đồng</w:t>
      </w:r>
      <w:r>
        <w:t xml:space="preserve"> </w:t>
      </w:r>
      <w:r>
        <w:t xml:space="preserve">(~30% tổng kinh phí) hỗ trợ sinh viên công bố khoa học và đăng ký tham dự hội nghị.</w:t>
      </w:r>
    </w:p>
    <w:p>
      <w:pPr>
        <w:pStyle w:val="Compact"/>
        <w:numPr>
          <w:ilvl w:val="0"/>
          <w:numId w:val="1018"/>
        </w:numPr>
      </w:pPr>
      <w:r>
        <w:rPr>
          <w:b/>
          <w:bCs/>
        </w:rPr>
        <w:t xml:space="preserve">Khoa Cơ khí</w:t>
      </w:r>
      <w:r>
        <w:t xml:space="preserve">: Dành</w:t>
      </w:r>
      <w:r>
        <w:t xml:space="preserve"> </w:t>
      </w:r>
      <w:r>
        <w:rPr>
          <w:b/>
          <w:bCs/>
        </w:rPr>
        <w:t xml:space="preserve">112 triệu đồng</w:t>
      </w:r>
      <w:r>
        <w:t xml:space="preserve"> </w:t>
      </w:r>
      <w:r>
        <w:t xml:space="preserve">(~10% tổng kinh phí) hỗ trợ chi phí đăng bài và hội thảo khoa học liên quan trực tiếp đến đề tài.</w:t>
      </w:r>
    </w:p>
    <w:p>
      <w:pPr>
        <w:pStyle w:val="Compact"/>
        <w:numPr>
          <w:ilvl w:val="0"/>
          <w:numId w:val="1018"/>
        </w:numPr>
      </w:pPr>
      <w:r>
        <w:rPr>
          <w:b/>
          <w:bCs/>
        </w:rPr>
        <w:t xml:space="preserve">Khoa Khoa học Ứng dụng</w:t>
      </w:r>
      <w:r>
        <w:t xml:space="preserve">: Dành</w:t>
      </w:r>
      <w:r>
        <w:t xml:space="preserve"> </w:t>
      </w:r>
      <w:r>
        <w:rPr>
          <w:b/>
          <w:bCs/>
        </w:rPr>
        <w:t xml:space="preserve">27,5 triệu đồng</w:t>
      </w:r>
      <w:r>
        <w:t xml:space="preserve"> </w:t>
      </w:r>
      <w:r>
        <w:t xml:space="preserve">từ nguồn phân bổ để tổ chức riêng Hội thảo khoa học sinh viên tại khoa phục vụ báo cáo và triển lãm.</w:t>
      </w:r>
    </w:p>
    <w:p>
      <w:r>
        <w:pict>
          <v:rect style="width:0;height:1.5pt" o:hralign="center" o:hrstd="t" o:hr="t"/>
        </w:pict>
      </w:r>
    </w:p>
    <w:bookmarkEnd w:id="16"/>
    <w:bookmarkEnd w:id="17"/>
    <w:bookmarkStart w:id="22" w:name="Xcee393445b776e64d9fb4aefe1eadd723cf11c3"/>
    <w:p>
      <w:pPr>
        <w:pStyle w:val="Heading2"/>
      </w:pPr>
      <w:r>
        <w:t xml:space="preserve">V. TỔNG HỢP CÁC ĐỀ XUẤT VÀ KIẾN NGHỊ CỦA CÁC KHOA</w:t>
      </w:r>
    </w:p>
    <w:p>
      <w:pPr>
        <w:pStyle w:val="FirstParagraph"/>
      </w:pPr>
      <w:r>
        <w:t xml:space="preserve">Để hoạt động NCKH &amp; ĐMST cấp sinh viên năm 2026 đạt hiệu quả thực chất, các khoa đã đưa ra một số đề xuất quan trọng gửi Phòng Khoa học &amp; Công nghệ, Phòng Kế hoạch - Tài chính và Ban Giám hiệu Trường:</w:t>
      </w:r>
    </w:p>
    <w:bookmarkStart w:id="18" w:name="Xd97f92f908a7cea22e6b9e255acf77abcb5578b"/>
    <w:p>
      <w:pPr>
        <w:pStyle w:val="Heading3"/>
      </w:pPr>
      <w:r>
        <w:t xml:space="preserve">1. Đề xuất về cơ chế tài chính và định mức hỗ trợ (Khoa Cơ khí, Hóa học, Địa chất, Môi trường)</w:t>
      </w:r>
    </w:p>
    <w:p>
      <w:pPr>
        <w:pStyle w:val="Compact"/>
        <w:numPr>
          <w:ilvl w:val="0"/>
          <w:numId w:val="1019"/>
        </w:numPr>
      </w:pPr>
      <w:r>
        <w:rPr>
          <w:b/>
          <w:bCs/>
        </w:rPr>
        <w:t xml:space="preserve">Hỗ trợ kinh phí sinh viên</w:t>
      </w:r>
      <w:r>
        <w:t xml:space="preserve">: Kiến nghị áp dụng cơ chế cho phép chi bồi dưỡng trực tiếp cho sinh viên tham gia thực hiện đề tài (dự kiến định mức ≈15% giá trị đề tài) nhằm tạo động lực và nâng cao trách nhiệm nghiên cứu của sinh viên.</w:t>
      </w:r>
    </w:p>
    <w:p>
      <w:pPr>
        <w:pStyle w:val="Compact"/>
        <w:numPr>
          <w:ilvl w:val="0"/>
          <w:numId w:val="1019"/>
        </w:numPr>
      </w:pPr>
      <w:r>
        <w:rPr>
          <w:b/>
          <w:bCs/>
        </w:rPr>
        <w:t xml:space="preserve">Đặc thù ngành</w:t>
      </w:r>
      <w:r>
        <w:t xml:space="preserve">: Kiến nghị xây dựng định mức chi phí đi lại, khảo sát thực địa và thu thập số liệu hiện trường cho sinh viên (dự kiến chiếm ≈10% kinh phí phân bổ), đặc biệt cần thiết cho các ngành có khối lượng công việc thực địa lớn như Địa chất Dầu khí, Môi trường và Tài nguyên.</w:t>
      </w:r>
    </w:p>
    <w:p>
      <w:pPr>
        <w:pStyle w:val="Compact"/>
        <w:numPr>
          <w:ilvl w:val="0"/>
          <w:numId w:val="1019"/>
        </w:numPr>
      </w:pPr>
      <w:r>
        <w:rPr>
          <w:b/>
          <w:bCs/>
        </w:rPr>
        <w:t xml:space="preserve">Tăng hạn mức kinh phí</w:t>
      </w:r>
      <w:r>
        <w:t xml:space="preserve">: Một số khoa (như Môi trường và Tài nguyên, Công nghệ Vật liệu) đề nghị nhà trường xem xét nâng hạn mức kinh phí phân bổ thực tế vì nhu cầu đăng ký và tính toán dự toán hóa chất, thiết bị thực tế của sinh viên vượt xa hạn mức trường duyệt.</w:t>
      </w:r>
    </w:p>
    <w:bookmarkEnd w:id="18"/>
    <w:bookmarkStart w:id="19" w:name="X116e987abf8a409e85ca5c93535322323fe92ca"/>
    <w:p>
      <w:pPr>
        <w:pStyle w:val="Heading3"/>
      </w:pPr>
      <w:r>
        <w:t xml:space="preserve">2. Đề xuất cải tiến quy trình hành chính và mua sắm (Khoa KHUD, Giao thông, Máy tính, Vật liệu)</w:t>
      </w:r>
    </w:p>
    <w:p>
      <w:pPr>
        <w:pStyle w:val="Compact"/>
        <w:numPr>
          <w:ilvl w:val="0"/>
          <w:numId w:val="1020"/>
        </w:numPr>
      </w:pPr>
      <w:r>
        <w:rPr>
          <w:b/>
          <w:bCs/>
        </w:rPr>
        <w:t xml:space="preserve">Quy trình hóa chất &amp; thiết bị chuyên dụng</w:t>
      </w:r>
      <w:r>
        <w:t xml:space="preserve">: Hướng dẫn chi tiết quy trình mua sắm, nhập khẩu và quản lý sử dụng các hóa chất thí nghiệm thuộc danh mục kiểm soát (hóa chất độc hại), các linh kiện điện tử chuyên dụng nhập khẩu và các phần mềm bản quyền mô phỏng nghiên cứu.</w:t>
      </w:r>
    </w:p>
    <w:p>
      <w:pPr>
        <w:pStyle w:val="Compact"/>
        <w:numPr>
          <w:ilvl w:val="0"/>
          <w:numId w:val="1020"/>
        </w:numPr>
      </w:pPr>
      <w:r>
        <w:rPr>
          <w:b/>
          <w:bCs/>
        </w:rPr>
        <w:t xml:space="preserve">Rút ngắn thời gian giải ngân</w:t>
      </w:r>
      <w:r>
        <w:t xml:space="preserve">: Đề xuất tối ưu hóa quy trình duyệt hồ sơ mua sắm và giải ngân (rút ngắn thời gian thông thường 30 ngày xuống mức tối thiểu) để tránh làm gián đoạn tiến độ thực hiện đề tài của sinh viên, đặc biệt với các đề tài chế tạo thực nghiệm chỉ có chu kỳ 12 tháng.</w:t>
      </w:r>
    </w:p>
    <w:bookmarkEnd w:id="19"/>
    <w:bookmarkStart w:id="20" w:name="X6cfc1a300c184fee9e39a79e558801eea05c692"/>
    <w:p>
      <w:pPr>
        <w:pStyle w:val="Heading3"/>
      </w:pPr>
      <w:r>
        <w:t xml:space="preserve">3. Đề xuất cơ chế ghi nhận cho giảng viên hướng dẫn (Khoa Cơ khí, KH&amp;KTMT, KTHH)</w:t>
      </w:r>
    </w:p>
    <w:p>
      <w:pPr>
        <w:pStyle w:val="Compact"/>
        <w:numPr>
          <w:ilvl w:val="0"/>
          <w:numId w:val="1021"/>
        </w:numPr>
      </w:pPr>
      <w:r>
        <w:rPr>
          <w:b/>
          <w:bCs/>
        </w:rPr>
        <w:t xml:space="preserve">Ghi nhận công sức giảng viên</w:t>
      </w:r>
      <w:r>
        <w:t xml:space="preserve">: Đề nghị Phòng KH&amp;CN ban hành hướng dẫn cụ thể về việc tính điểm Nhiệm vụ 2 (quy đổi giờ chuẩn giảng dạy) và hỗ trợ kinh phí bồi dưỡng hướng dẫn cho giảng viên hướng dẫn đề tài NCKH sinh viên nhằm khuyến khích giảng viên đồng hành lâu dài cùng các nhóm sinh viên.</w:t>
      </w:r>
    </w:p>
    <w:bookmarkEnd w:id="20"/>
    <w:bookmarkStart w:id="21" w:name="X7cc86d7f809d90b5429e4ee611bce560c0499fe"/>
    <w:p>
      <w:pPr>
        <w:pStyle w:val="Heading3"/>
      </w:pPr>
      <w:r>
        <w:t xml:space="preserve">4. Đề xuất cơ chế phối hợp tham gia cuộc thi ngoài trường (Khoa Cơ khí, KTHH)</w:t>
      </w:r>
    </w:p>
    <w:p>
      <w:pPr>
        <w:pStyle w:val="Compact"/>
        <w:numPr>
          <w:ilvl w:val="0"/>
          <w:numId w:val="1022"/>
        </w:numPr>
      </w:pPr>
      <w:r>
        <w:rPr>
          <w:b/>
          <w:bCs/>
        </w:rPr>
        <w:t xml:space="preserve">Tạo điều kiện tham gia cuộc thi</w:t>
      </w:r>
      <w:r>
        <w:t xml:space="preserve">: Kiến nghị Phòng Công tác Sinh viên (CTSV) hỗ trợ đơn giản hóa quy trình tiếp nhận hồ sơ, làm thủ tục đề cử sinh viên tham gia các cuộc thi học thuật ngoài trường (theo quy trình BK-QT-ED-056-05) nhằm tạo cơ hội cọ xát thực tế cho sinh viên sau khi hoàn thành đề tài cấp cơ sở.</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2026-06-21T12:59:36Z</dcterms:created>
  <dcterms:modified xsi:type="dcterms:W3CDTF">2026-06-21T12:59:36Z</dcterms:modified>
</cp:coreProperties>
</file>

<file path=docProps/custom.xml><?xml version="1.0" encoding="utf-8"?>
<Properties xmlns="http://schemas.openxmlformats.org/officeDocument/2006/custom-properties" xmlns:vt="http://schemas.openxmlformats.org/officeDocument/2006/docPropsVTypes"/>
</file>