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pacing w:lineRule="exact" w:line="588"/>
        <w:jc w:val="start"/>
        <w:rPr>
          <w:rFonts w:ascii="黑体" w:hAnsi="黑体" w:eastAsia="黑体" w:cs="黑体" w:hint="eastAsia"/>
          <w:kern w:val="0"/>
          <w:sz w:val="32"/>
          <w:szCs w:val="32"/>
        </w:rPr>
      </w:pPr>
      <w:r>
        <w:rPr>
          <w:rFonts w:ascii="黑体" w:hAnsi="黑体" w:cs="黑体" w:hint="eastAsia" w:eastAsia="黑体"/>
          <w:kern w:val="0"/>
          <w:sz w:val="32"/>
          <w:szCs w:val="32"/>
        </w:rPr>
        <w:t>附件</w:t>
      </w:r>
    </w:p>
    <w:p>
      <w:pPr>
        <w:pStyle w:val="Normal"/>
        <w:widowControl/>
        <w:spacing w:lineRule="exact" w:line="588"/>
        <w:jc w:val="start"/>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widowControl/>
        <w:spacing w:lineRule="exact" w:line="588"/>
        <w:jc w:val="center"/>
        <w:rPr>
          <w:rFonts w:eastAsia="方正小标宋_GBK" w:hint="eastAsia"/>
          <w:kern w:val="0"/>
          <w:sz w:val="36"/>
          <w:szCs w:val="36"/>
        </w:rPr>
      </w:pPr>
      <w:r>
        <w:rPr>
          <w:rFonts w:eastAsia="方正小标宋_GBK"/>
          <w:kern w:val="0"/>
          <w:sz w:val="36"/>
          <w:szCs w:val="36"/>
        </w:rPr>
        <w:t>2024</w:t>
      </w:r>
      <w:r>
        <w:rPr>
          <w:rFonts w:eastAsia="方正小标宋_GBK"/>
          <w:kern w:val="0"/>
          <w:sz w:val="36"/>
          <w:szCs w:val="36"/>
        </w:rPr>
        <w:t>年度全国可再生能源电力发展监测评价</w:t>
      </w:r>
      <w:r>
        <w:rPr>
          <w:rFonts w:hint="eastAsia" w:eastAsia="方正小标宋_GBK"/>
          <w:kern w:val="0"/>
          <w:sz w:val="36"/>
          <w:szCs w:val="36"/>
        </w:rPr>
        <w:t>结果</w:t>
      </w:r>
    </w:p>
    <w:p>
      <w:pPr>
        <w:pStyle w:val="Normal"/>
        <w:spacing w:lineRule="exact" w:line="588"/>
        <w:jc w:val="center"/>
        <w:rPr>
          <w:rFonts w:eastAsia="楷体_GB2312"/>
          <w:color w:val="FF0000"/>
          <w:spacing w:val="-20"/>
          <w:sz w:val="24"/>
          <w:szCs w:val="24"/>
        </w:rPr>
      </w:pPr>
      <w:r>
        <w:rPr>
          <w:rFonts w:eastAsia="楷体_GB2312" w:hint="eastAsia"/>
          <w:color w:val="FF0000"/>
          <w:spacing w:val="-20"/>
          <w:kern w:val="0"/>
          <w:sz w:val="24"/>
          <w:szCs w:val="24"/>
        </w:rPr>
      </w:r>
    </w:p>
    <w:p>
      <w:pPr>
        <w:pStyle w:val="Normal"/>
        <w:keepNext w:val="true"/>
        <w:keepLines/>
        <w:numPr>
          <w:ilvl w:val="0"/>
          <w:numId w:val="0"/>
        </w:numPr>
        <w:snapToGrid w:val="false"/>
        <w:spacing w:lineRule="exact" w:line="588"/>
        <w:ind w:firstLineChars="200" w:startChars="0" w:start="0" w:endChars="0" w:end="0"/>
        <w:outlineLvl w:val="0"/>
        <w:rPr>
          <w:rFonts w:eastAsia="方正黑体_GBK"/>
          <w:bCs/>
          <w:kern w:val="2"/>
          <w:sz w:val="30"/>
          <w:szCs w:val="30"/>
        </w:rPr>
      </w:pPr>
      <w:r>
        <w:rPr>
          <w:rFonts w:eastAsia="方正黑体_GBK"/>
          <w:bCs/>
          <w:kern w:val="2"/>
          <w:sz w:val="30"/>
          <w:szCs w:val="30"/>
        </w:rPr>
        <w:t>一、全国可再生能源电力发展总体情况</w:t>
      </w:r>
    </w:p>
    <w:p>
      <w:pPr>
        <w:pStyle w:val="Normal"/>
        <w:spacing w:lineRule="exact" w:line="588"/>
        <w:ind w:firstLineChars="200" w:startChars="0" w:start="0" w:endChars="0" w:end="0"/>
        <w:rPr>
          <w:rFonts w:eastAsia="方正仿宋_GBK"/>
          <w:sz w:val="30"/>
          <w:szCs w:val="30"/>
        </w:rPr>
      </w:pPr>
      <w:r>
        <w:rPr>
          <w:rFonts w:eastAsia="方正仿宋_GBK"/>
          <w:sz w:val="30"/>
          <w:szCs w:val="30"/>
        </w:rPr>
        <w:t>截至</w:t>
      </w:r>
      <w:r>
        <w:rPr>
          <w:rFonts w:eastAsia="方正仿宋_GBK"/>
          <w:sz w:val="30"/>
          <w:szCs w:val="30"/>
        </w:rPr>
        <w:t>2024</w:t>
      </w:r>
      <w:r>
        <w:rPr>
          <w:rFonts w:eastAsia="方正仿宋_GBK"/>
          <w:sz w:val="30"/>
          <w:szCs w:val="30"/>
        </w:rPr>
        <w:t>年底，全国可再生能源发电累计装机容量</w:t>
      </w:r>
      <w:r>
        <w:rPr>
          <w:rFonts w:eastAsia="方正仿宋_GBK"/>
          <w:sz w:val="30"/>
          <w:szCs w:val="30"/>
        </w:rPr>
        <w:t>18.89</w:t>
      </w:r>
      <w:r>
        <w:rPr>
          <w:rFonts w:eastAsia="方正仿宋_GBK"/>
          <w:sz w:val="30"/>
          <w:szCs w:val="30"/>
        </w:rPr>
        <w:t>亿千瓦，同比增长约</w:t>
      </w:r>
      <w:r>
        <w:rPr>
          <w:rFonts w:eastAsia="方正仿宋_GBK"/>
          <w:sz w:val="30"/>
          <w:szCs w:val="30"/>
        </w:rPr>
        <w:t>24.</w:t>
      </w:r>
      <w:r>
        <w:rPr>
          <w:rFonts w:eastAsia="方正仿宋_GBK" w:hint="eastAsia"/>
          <w:sz w:val="30"/>
          <w:szCs w:val="30"/>
        </w:rPr>
        <w:t>4</w:t>
      </w:r>
      <w:r>
        <w:rPr>
          <w:rFonts w:eastAsia="方正仿宋_GBK"/>
          <w:sz w:val="30"/>
          <w:szCs w:val="30"/>
        </w:rPr>
        <w:t>%</w:t>
      </w:r>
      <w:r>
        <w:rPr>
          <w:rFonts w:eastAsia="方正仿宋_GBK"/>
          <w:sz w:val="30"/>
          <w:szCs w:val="30"/>
        </w:rPr>
        <w:t>，约占全部电力装机的</w:t>
      </w:r>
      <w:r>
        <w:rPr>
          <w:rFonts w:eastAsia="方正仿宋_GBK"/>
          <w:sz w:val="30"/>
          <w:szCs w:val="30"/>
        </w:rPr>
        <w:t>56.4%</w:t>
      </w:r>
      <w:r>
        <w:rPr>
          <w:rFonts w:eastAsia="方正仿宋_GBK"/>
          <w:sz w:val="30"/>
          <w:szCs w:val="30"/>
        </w:rPr>
        <w:t>。其中，水电装机</w:t>
      </w:r>
      <w:r>
        <w:rPr>
          <w:rFonts w:eastAsia="方正仿宋_GBK"/>
          <w:sz w:val="30"/>
          <w:szCs w:val="30"/>
        </w:rPr>
        <w:t>4.36</w:t>
      </w:r>
      <w:r>
        <w:rPr>
          <w:rFonts w:eastAsia="方正仿宋_GBK"/>
          <w:sz w:val="30"/>
          <w:szCs w:val="30"/>
        </w:rPr>
        <w:t>亿千瓦（含抽水蓄能</w:t>
      </w:r>
      <w:r>
        <w:rPr>
          <w:rFonts w:eastAsia="方正仿宋_GBK"/>
          <w:sz w:val="30"/>
          <w:szCs w:val="30"/>
        </w:rPr>
        <w:t>0.59</w:t>
      </w:r>
      <w:r>
        <w:rPr>
          <w:rFonts w:eastAsia="方正仿宋_GBK"/>
          <w:sz w:val="30"/>
          <w:szCs w:val="30"/>
        </w:rPr>
        <w:t>亿千瓦），风电装机</w:t>
      </w:r>
      <w:r>
        <w:rPr>
          <w:rFonts w:eastAsia="方正仿宋_GBK"/>
          <w:sz w:val="30"/>
          <w:szCs w:val="30"/>
        </w:rPr>
        <w:t>5.21</w:t>
      </w:r>
      <w:r>
        <w:rPr>
          <w:rFonts w:eastAsia="方正仿宋_GBK"/>
          <w:sz w:val="30"/>
          <w:szCs w:val="30"/>
        </w:rPr>
        <w:t>亿千瓦，太阳能发电装机</w:t>
      </w:r>
      <w:r>
        <w:rPr>
          <w:rFonts w:eastAsia="方正仿宋_GBK"/>
          <w:sz w:val="30"/>
          <w:szCs w:val="30"/>
        </w:rPr>
        <w:t>8.87</w:t>
      </w:r>
      <w:r>
        <w:rPr>
          <w:rFonts w:eastAsia="方正仿宋_GBK"/>
          <w:sz w:val="30"/>
          <w:szCs w:val="30"/>
        </w:rPr>
        <w:t>亿千瓦，生物质发电装机</w:t>
      </w:r>
      <w:r>
        <w:rPr>
          <w:rFonts w:eastAsia="方正仿宋_GBK"/>
          <w:sz w:val="30"/>
          <w:szCs w:val="30"/>
        </w:rPr>
        <w:t>0.46</w:t>
      </w:r>
      <w:r>
        <w:rPr>
          <w:rFonts w:eastAsia="方正仿宋_GBK"/>
          <w:sz w:val="30"/>
          <w:szCs w:val="30"/>
        </w:rPr>
        <w:t>亿千瓦。</w:t>
      </w:r>
      <w:r>
        <w:rPr>
          <w:rFonts w:eastAsia="方正仿宋_GBK"/>
          <w:sz w:val="30"/>
          <w:szCs w:val="30"/>
        </w:rPr>
        <w:t>2024</w:t>
      </w:r>
      <w:r>
        <w:rPr>
          <w:rFonts w:eastAsia="方正仿宋_GBK"/>
          <w:sz w:val="30"/>
          <w:szCs w:val="30"/>
        </w:rPr>
        <w:t>年，全国可再生能源新增装机</w:t>
      </w:r>
      <w:r>
        <w:rPr>
          <w:rFonts w:eastAsia="方正仿宋_GBK"/>
          <w:sz w:val="30"/>
          <w:szCs w:val="30"/>
        </w:rPr>
        <w:t>3.7</w:t>
      </w:r>
      <w:r>
        <w:rPr>
          <w:rFonts w:eastAsia="方正仿宋_GBK" w:hint="eastAsia"/>
          <w:sz w:val="30"/>
          <w:szCs w:val="30"/>
        </w:rPr>
        <w:t>5</w:t>
      </w:r>
      <w:r>
        <w:rPr>
          <w:rFonts w:eastAsia="方正仿宋_GBK"/>
          <w:sz w:val="30"/>
          <w:szCs w:val="30"/>
        </w:rPr>
        <w:t>亿千瓦，其中水电新增</w:t>
      </w:r>
      <w:r>
        <w:rPr>
          <w:rFonts w:eastAsia="方正仿宋_GBK"/>
          <w:sz w:val="30"/>
          <w:szCs w:val="30"/>
        </w:rPr>
        <w:t>137</w:t>
      </w:r>
      <w:r>
        <w:rPr>
          <w:rFonts w:eastAsia="方正仿宋_GBK" w:hint="eastAsia"/>
          <w:sz w:val="30"/>
          <w:szCs w:val="30"/>
        </w:rPr>
        <w:t>9</w:t>
      </w:r>
      <w:r>
        <w:rPr>
          <w:rFonts w:eastAsia="方正仿宋_GBK"/>
          <w:sz w:val="30"/>
          <w:szCs w:val="30"/>
        </w:rPr>
        <w:t>万千瓦，并网风电新增</w:t>
      </w:r>
      <w:r>
        <w:rPr>
          <w:rFonts w:eastAsia="方正仿宋_GBK" w:hint="eastAsia"/>
          <w:sz w:val="30"/>
          <w:szCs w:val="30"/>
        </w:rPr>
        <w:t>8137</w:t>
      </w:r>
      <w:r>
        <w:rPr>
          <w:rFonts w:eastAsia="方正仿宋_GBK"/>
          <w:sz w:val="30"/>
          <w:szCs w:val="30"/>
        </w:rPr>
        <w:t>万千瓦，并网太阳能发电新增</w:t>
      </w:r>
      <w:r>
        <w:rPr>
          <w:rFonts w:eastAsia="方正仿宋_GBK"/>
          <w:sz w:val="30"/>
          <w:szCs w:val="30"/>
        </w:rPr>
        <w:t>2.78</w:t>
      </w:r>
      <w:r>
        <w:rPr>
          <w:rFonts w:eastAsia="方正仿宋_GBK"/>
          <w:sz w:val="30"/>
          <w:szCs w:val="30"/>
        </w:rPr>
        <w:t>亿千瓦，生物质发电新增</w:t>
      </w:r>
      <w:r>
        <w:rPr>
          <w:rFonts w:eastAsia="方正仿宋_GBK" w:hint="eastAsia"/>
          <w:sz w:val="30"/>
          <w:szCs w:val="30"/>
        </w:rPr>
        <w:t>231</w:t>
      </w:r>
      <w:r>
        <w:rPr>
          <w:rFonts w:eastAsia="方正仿宋_GBK"/>
          <w:sz w:val="30"/>
          <w:szCs w:val="30"/>
        </w:rPr>
        <w:t>万千瓦。</w:t>
      </w:r>
    </w:p>
    <w:p>
      <w:pPr>
        <w:pStyle w:val="Normal"/>
        <w:spacing w:lineRule="exact" w:line="588"/>
        <w:ind w:firstLineChars="200" w:startChars="0" w:start="0" w:endChars="0" w:end="0"/>
        <w:rPr>
          <w:rFonts w:eastAsia="方正仿宋_GBK"/>
          <w:sz w:val="30"/>
          <w:szCs w:val="30"/>
        </w:rPr>
      </w:pPr>
      <w:r>
        <w:rPr>
          <w:rFonts w:eastAsia="方正仿宋_GBK"/>
          <w:sz w:val="30"/>
          <w:szCs w:val="30"/>
        </w:rPr>
        <w:t>2024</w:t>
      </w:r>
      <w:r>
        <w:rPr>
          <w:rFonts w:eastAsia="方正仿宋_GBK"/>
          <w:sz w:val="30"/>
          <w:szCs w:val="30"/>
        </w:rPr>
        <w:t>年，全国可再生能源发电量</w:t>
      </w:r>
      <w:r>
        <w:rPr>
          <w:rFonts w:eastAsia="方正仿宋_GBK"/>
          <w:sz w:val="30"/>
          <w:szCs w:val="30"/>
        </w:rPr>
        <w:t>3.4</w:t>
      </w:r>
      <w:r>
        <w:rPr>
          <w:rFonts w:eastAsia="方正仿宋_GBK" w:hint="eastAsia"/>
          <w:sz w:val="30"/>
          <w:szCs w:val="30"/>
        </w:rPr>
        <w:t>7</w:t>
      </w:r>
      <w:r>
        <w:rPr>
          <w:rFonts w:eastAsia="方正仿宋_GBK"/>
          <w:sz w:val="30"/>
          <w:szCs w:val="30"/>
        </w:rPr>
        <w:t>万亿千瓦时，</w:t>
      </w:r>
      <w:r>
        <w:rPr>
          <w:rFonts w:hint="eastAsia" w:eastAsia="方正仿宋_GBK"/>
          <w:sz w:val="30"/>
          <w:szCs w:val="30"/>
        </w:rPr>
        <w:t>约</w:t>
      </w:r>
      <w:r>
        <w:rPr>
          <w:rFonts w:eastAsia="方正仿宋_GBK"/>
          <w:sz w:val="30"/>
          <w:szCs w:val="30"/>
        </w:rPr>
        <w:t>占全部发电量的</w:t>
      </w:r>
      <w:r>
        <w:rPr>
          <w:rFonts w:eastAsia="方正仿宋_GBK"/>
          <w:sz w:val="30"/>
          <w:szCs w:val="30"/>
        </w:rPr>
        <w:t>35%</w:t>
      </w:r>
      <w:r>
        <w:rPr>
          <w:rFonts w:eastAsia="方正仿宋_GBK"/>
          <w:sz w:val="30"/>
          <w:szCs w:val="30"/>
        </w:rPr>
        <w:t>；其中水电发电量</w:t>
      </w:r>
      <w:r>
        <w:rPr>
          <w:rFonts w:eastAsia="方正仿宋_GBK"/>
          <w:sz w:val="30"/>
          <w:szCs w:val="30"/>
        </w:rPr>
        <w:t>1.42</w:t>
      </w:r>
      <w:r>
        <w:rPr>
          <w:rFonts w:eastAsia="方正仿宋_GBK"/>
          <w:sz w:val="30"/>
          <w:szCs w:val="30"/>
        </w:rPr>
        <w:t>万亿千瓦时，占全部发电量的</w:t>
      </w:r>
      <w:r>
        <w:rPr>
          <w:rFonts w:eastAsia="方正仿宋_GBK"/>
          <w:sz w:val="30"/>
          <w:szCs w:val="30"/>
        </w:rPr>
        <w:t>14.4%</w:t>
      </w:r>
      <w:r>
        <w:rPr>
          <w:rFonts w:eastAsia="方正仿宋_GBK"/>
          <w:sz w:val="30"/>
          <w:szCs w:val="30"/>
        </w:rPr>
        <w:t>；风电发电量</w:t>
      </w:r>
      <w:r>
        <w:rPr>
          <w:rFonts w:eastAsia="方正仿宋_GBK"/>
          <w:sz w:val="30"/>
          <w:szCs w:val="30"/>
        </w:rPr>
        <w:t>996</w:t>
      </w:r>
      <w:r>
        <w:rPr>
          <w:rFonts w:eastAsia="方正仿宋_GBK" w:hint="eastAsia"/>
          <w:sz w:val="30"/>
          <w:szCs w:val="30"/>
        </w:rPr>
        <w:t>8</w:t>
      </w:r>
      <w:r>
        <w:rPr>
          <w:rFonts w:eastAsia="方正仿宋_GBK"/>
          <w:sz w:val="30"/>
          <w:szCs w:val="30"/>
        </w:rPr>
        <w:t>亿千瓦时，占全部发电量的</w:t>
      </w:r>
      <w:r>
        <w:rPr>
          <w:rFonts w:eastAsia="方正仿宋_GBK"/>
          <w:sz w:val="30"/>
          <w:szCs w:val="30"/>
        </w:rPr>
        <w:t>10.1%</w:t>
      </w:r>
      <w:r>
        <w:rPr>
          <w:rFonts w:eastAsia="方正仿宋_GBK"/>
          <w:sz w:val="30"/>
          <w:szCs w:val="30"/>
        </w:rPr>
        <w:t>；</w:t>
      </w:r>
      <w:r>
        <w:rPr>
          <w:rFonts w:hint="eastAsia" w:eastAsia="方正仿宋_GBK"/>
          <w:sz w:val="30"/>
          <w:szCs w:val="30"/>
        </w:rPr>
        <w:t>太阳能</w:t>
      </w:r>
      <w:r>
        <w:rPr>
          <w:rFonts w:eastAsia="方正仿宋_GBK"/>
          <w:sz w:val="30"/>
          <w:szCs w:val="30"/>
        </w:rPr>
        <w:t>发电量</w:t>
      </w:r>
      <w:r>
        <w:rPr>
          <w:rFonts w:eastAsia="方正仿宋_GBK"/>
          <w:sz w:val="30"/>
          <w:szCs w:val="30"/>
        </w:rPr>
        <w:t>838</w:t>
      </w:r>
      <w:r>
        <w:rPr>
          <w:rFonts w:eastAsia="方正仿宋_GBK" w:hint="eastAsia"/>
          <w:sz w:val="30"/>
          <w:szCs w:val="30"/>
        </w:rPr>
        <w:t>3</w:t>
      </w:r>
      <w:r>
        <w:rPr>
          <w:rFonts w:eastAsia="方正仿宋_GBK"/>
          <w:sz w:val="30"/>
          <w:szCs w:val="30"/>
        </w:rPr>
        <w:t>亿千瓦时，占全部发电量的</w:t>
      </w:r>
      <w:r>
        <w:rPr>
          <w:rFonts w:eastAsia="方正仿宋_GBK"/>
          <w:sz w:val="30"/>
          <w:szCs w:val="30"/>
        </w:rPr>
        <w:t>8.5%</w:t>
      </w:r>
      <w:r>
        <w:rPr>
          <w:rFonts w:eastAsia="方正仿宋_GBK"/>
          <w:sz w:val="30"/>
          <w:szCs w:val="30"/>
        </w:rPr>
        <w:t>；生物质发电量</w:t>
      </w:r>
      <w:r>
        <w:rPr>
          <w:rFonts w:eastAsia="方正仿宋_GBK"/>
          <w:sz w:val="30"/>
          <w:szCs w:val="30"/>
        </w:rPr>
        <w:t>209</w:t>
      </w:r>
      <w:r>
        <w:rPr>
          <w:rFonts w:eastAsia="方正仿宋_GBK" w:hint="eastAsia"/>
          <w:sz w:val="30"/>
          <w:szCs w:val="30"/>
        </w:rPr>
        <w:t>6</w:t>
      </w:r>
      <w:r>
        <w:rPr>
          <w:rFonts w:eastAsia="方正仿宋_GBK"/>
          <w:sz w:val="30"/>
          <w:szCs w:val="30"/>
        </w:rPr>
        <w:t>亿千瓦时，占全部发电量的</w:t>
      </w:r>
      <w:r>
        <w:rPr>
          <w:rFonts w:eastAsia="方正仿宋_GBK"/>
          <w:sz w:val="30"/>
          <w:szCs w:val="30"/>
        </w:rPr>
        <w:t>2.1%</w:t>
      </w:r>
      <w:r>
        <w:rPr>
          <w:rFonts w:eastAsia="方正仿宋_GBK"/>
          <w:sz w:val="30"/>
          <w:szCs w:val="30"/>
        </w:rPr>
        <w:t>。</w:t>
      </w:r>
    </w:p>
    <w:p>
      <w:pPr>
        <w:pStyle w:val="Normal"/>
        <w:keepNext w:val="true"/>
        <w:keepLines/>
        <w:numPr>
          <w:ilvl w:val="0"/>
          <w:numId w:val="0"/>
        </w:numPr>
        <w:snapToGrid w:val="false"/>
        <w:spacing w:lineRule="exact" w:line="588"/>
        <w:ind w:firstLineChars="200" w:startChars="0" w:start="0" w:endChars="0" w:end="0"/>
        <w:outlineLvl w:val="0"/>
        <w:rPr>
          <w:rFonts w:eastAsia="方正黑体_GBK"/>
          <w:bCs/>
          <w:kern w:val="2"/>
          <w:sz w:val="30"/>
          <w:szCs w:val="30"/>
        </w:rPr>
      </w:pPr>
      <w:r>
        <w:rPr>
          <w:rFonts w:eastAsia="方正黑体_GBK"/>
          <w:bCs/>
          <w:kern w:val="2"/>
          <w:sz w:val="30"/>
          <w:szCs w:val="30"/>
        </w:rPr>
        <w:t>二、各省（区、市）可再生能源电力消纳责任权重完成情况</w:t>
      </w:r>
    </w:p>
    <w:p>
      <w:pPr>
        <w:pStyle w:val="Normal"/>
        <w:spacing w:lineRule="exact" w:line="588"/>
        <w:ind w:firstLineChars="200" w:startChars="0" w:start="0" w:endChars="0" w:end="0"/>
        <w:rPr>
          <w:rFonts w:eastAsia="方正仿宋_GBK"/>
          <w:sz w:val="30"/>
          <w:szCs w:val="30"/>
        </w:rPr>
      </w:pPr>
      <w:r>
        <w:rPr>
          <w:rFonts w:eastAsia="方正仿宋_GBK"/>
          <w:sz w:val="30"/>
          <w:szCs w:val="30"/>
        </w:rPr>
        <w:t>根据《国家发展改革委办公厅 国家能源局综合司关于</w:t>
      </w:r>
      <w:r>
        <w:rPr>
          <w:rFonts w:eastAsia="方正仿宋_GBK"/>
          <w:sz w:val="30"/>
          <w:szCs w:val="30"/>
        </w:rPr>
        <w:t>2024</w:t>
      </w:r>
      <w:r>
        <w:rPr>
          <w:rFonts w:eastAsia="方正仿宋_GBK"/>
          <w:sz w:val="30"/>
          <w:szCs w:val="30"/>
        </w:rPr>
        <w:t>年可再生能源电力消纳责任权重及有关事项的通知》（发改办能源〔</w:t>
      </w:r>
      <w:r>
        <w:rPr>
          <w:rFonts w:eastAsia="方正仿宋_GBK"/>
          <w:sz w:val="30"/>
          <w:szCs w:val="30"/>
        </w:rPr>
        <w:t>2024</w:t>
      </w:r>
      <w:r>
        <w:rPr>
          <w:rFonts w:eastAsia="方正仿宋_GBK"/>
          <w:sz w:val="30"/>
          <w:szCs w:val="30"/>
        </w:rPr>
        <w:t>〕</w:t>
      </w:r>
      <w:r>
        <w:rPr>
          <w:rFonts w:eastAsia="方正仿宋_GBK"/>
          <w:sz w:val="30"/>
          <w:szCs w:val="30"/>
        </w:rPr>
        <w:t>598</w:t>
      </w:r>
      <w:r>
        <w:rPr>
          <w:rFonts w:eastAsia="方正仿宋_GBK"/>
          <w:sz w:val="30"/>
          <w:szCs w:val="30"/>
        </w:rPr>
        <w:t>号），综合考虑各省本地生产、本地利用以及外来电力消纳情况，全国各省（自治区、直辖市）可再生能源电力消纳责任权重总体完成较好，具体完成情况如下。</w:t>
      </w:r>
    </w:p>
    <w:p>
      <w:pPr>
        <w:pStyle w:val="Normal"/>
        <w:spacing w:lineRule="exact" w:line="588"/>
        <w:ind w:start="600" w:end="0"/>
        <w:rPr>
          <w:rFonts w:ascii="方正楷体_GBK" w:hAnsi="方正楷体_GBK" w:eastAsia="方正楷体_GBK" w:cs="方正楷体_GBK" w:hint="eastAsia"/>
          <w:sz w:val="30"/>
          <w:szCs w:val="30"/>
        </w:rPr>
      </w:pPr>
      <w:r>
        <w:rPr>
          <w:rFonts w:ascii="方正楷体_GBK" w:hAnsi="方正楷体_GBK" w:cs="方正楷体_GBK" w:hint="eastAsia" w:eastAsia="方正楷体_GBK"/>
          <w:sz w:val="30"/>
          <w:szCs w:val="30"/>
        </w:rPr>
        <w:t>（一）可再生能源电力总量消纳责任权重完成情况</w:t>
      </w:r>
    </w:p>
    <w:p>
      <w:pPr>
        <w:pStyle w:val="Normal"/>
        <w:spacing w:lineRule="exact" w:line="588"/>
        <w:ind w:firstLineChars="200" w:startChars="0" w:start="0" w:endChars="0" w:end="0"/>
        <w:rPr>
          <w:rFonts w:eastAsia="方正仿宋_GBK"/>
          <w:sz w:val="30"/>
          <w:szCs w:val="30"/>
        </w:rPr>
      </w:pPr>
      <w:r>
        <w:rPr>
          <w:rFonts w:eastAsia="方正仿宋_GBK"/>
          <w:sz w:val="30"/>
          <w:szCs w:val="30"/>
        </w:rPr>
        <w:t>2024</w:t>
      </w:r>
      <w:r>
        <w:rPr>
          <w:rFonts w:eastAsia="方正仿宋_GBK"/>
          <w:sz w:val="30"/>
          <w:szCs w:val="30"/>
        </w:rPr>
        <w:t>年全国可再生能源电力总量消纳责任权重实际完成</w:t>
      </w:r>
      <w:r>
        <w:rPr>
          <w:rFonts w:eastAsia="方正仿宋_GBK"/>
          <w:sz w:val="30"/>
          <w:szCs w:val="30"/>
        </w:rPr>
        <w:t>35.2%</w:t>
      </w:r>
      <w:r>
        <w:rPr>
          <w:rFonts w:eastAsia="方正仿宋_GBK"/>
          <w:sz w:val="30"/>
          <w:szCs w:val="30"/>
        </w:rPr>
        <w:t>，同比提高</w:t>
      </w:r>
      <w:r>
        <w:rPr>
          <w:rFonts w:eastAsia="方正仿宋_GBK"/>
          <w:sz w:val="30"/>
          <w:szCs w:val="30"/>
        </w:rPr>
        <w:t>3.2</w:t>
      </w:r>
      <w:r>
        <w:rPr>
          <w:rFonts w:eastAsia="方正仿宋_GBK"/>
          <w:sz w:val="30"/>
          <w:szCs w:val="30"/>
        </w:rPr>
        <w:t>个百分点。</w:t>
      </w:r>
    </w:p>
    <w:p>
      <w:pPr>
        <w:pStyle w:val="Normal"/>
        <w:spacing w:lineRule="exact" w:line="588"/>
        <w:ind w:firstLineChars="200" w:startChars="0" w:start="0" w:endChars="0" w:end="0"/>
        <w:rPr>
          <w:rFonts w:eastAsia="方正仿宋_GBK"/>
          <w:sz w:val="30"/>
          <w:szCs w:val="30"/>
        </w:rPr>
      </w:pPr>
      <w:r>
        <w:rPr>
          <w:rFonts w:eastAsia="方正仿宋_GBK"/>
          <w:sz w:val="30"/>
          <w:szCs w:val="30"/>
        </w:rPr>
        <w:t>北京等</w:t>
      </w:r>
      <w:r>
        <w:rPr>
          <w:rFonts w:eastAsia="方正仿宋_GBK"/>
          <w:sz w:val="30"/>
          <w:szCs w:val="30"/>
        </w:rPr>
        <w:t>26</w:t>
      </w:r>
      <w:r>
        <w:rPr>
          <w:rFonts w:eastAsia="方正仿宋_GBK"/>
          <w:sz w:val="30"/>
          <w:szCs w:val="30"/>
        </w:rPr>
        <w:t>个省（自治区、直辖市）完成国家下达的总量消纳责任权重，其中四川、云南、青海三省总量消纳责任权重完成超过</w:t>
      </w:r>
      <w:r>
        <w:rPr>
          <w:rFonts w:eastAsia="方正仿宋_GBK"/>
          <w:sz w:val="30"/>
          <w:szCs w:val="30"/>
        </w:rPr>
        <w:t>70%</w:t>
      </w:r>
      <w:r>
        <w:rPr>
          <w:rFonts w:eastAsia="方正仿宋_GBK"/>
          <w:sz w:val="30"/>
          <w:szCs w:val="30"/>
        </w:rPr>
        <w:t>。全国</w:t>
      </w:r>
      <w:r>
        <w:rPr>
          <w:rFonts w:eastAsia="方正仿宋_GBK"/>
          <w:sz w:val="30"/>
          <w:szCs w:val="30"/>
        </w:rPr>
        <w:t>31</w:t>
      </w:r>
      <w:r>
        <w:rPr>
          <w:rFonts w:eastAsia="方正仿宋_GBK"/>
          <w:sz w:val="30"/>
          <w:szCs w:val="30"/>
        </w:rPr>
        <w:t>个省（自治区、直辖市）中，可再生能源电力消纳量占全社会用电量的比重超过</w:t>
      </w:r>
      <w:r>
        <w:rPr>
          <w:rFonts w:eastAsia="方正仿宋_GBK"/>
          <w:sz w:val="30"/>
          <w:szCs w:val="30"/>
        </w:rPr>
        <w:t>80%</w:t>
      </w:r>
      <w:r>
        <w:rPr>
          <w:rFonts w:eastAsia="方正仿宋_GBK"/>
          <w:sz w:val="30"/>
          <w:szCs w:val="30"/>
        </w:rPr>
        <w:t>的</w:t>
      </w:r>
      <w:r>
        <w:rPr>
          <w:rFonts w:eastAsia="方正仿宋_GBK"/>
          <w:sz w:val="30"/>
          <w:szCs w:val="30"/>
        </w:rPr>
        <w:t>1</w:t>
      </w:r>
      <w:r>
        <w:rPr>
          <w:rFonts w:eastAsia="方正仿宋_GBK"/>
          <w:sz w:val="30"/>
          <w:szCs w:val="30"/>
        </w:rPr>
        <w:t>个、</w:t>
      </w:r>
      <w:r>
        <w:rPr>
          <w:rFonts w:eastAsia="方正仿宋_GBK"/>
          <w:sz w:val="30"/>
          <w:szCs w:val="30"/>
        </w:rPr>
        <w:t>40%—80%</w:t>
      </w:r>
      <w:r>
        <w:rPr>
          <w:rFonts w:eastAsia="方正仿宋_GBK"/>
          <w:sz w:val="30"/>
          <w:szCs w:val="30"/>
        </w:rPr>
        <w:t>的</w:t>
      </w:r>
      <w:r>
        <w:rPr>
          <w:rFonts w:eastAsia="方正仿宋_GBK" w:hint="eastAsia"/>
          <w:sz w:val="30"/>
          <w:szCs w:val="30"/>
        </w:rPr>
        <w:t>8</w:t>
      </w:r>
      <w:r>
        <w:rPr>
          <w:rFonts w:eastAsia="方正仿宋_GBK"/>
          <w:sz w:val="30"/>
          <w:szCs w:val="30"/>
        </w:rPr>
        <w:t>个、</w:t>
      </w:r>
      <w:r>
        <w:rPr>
          <w:rFonts w:eastAsia="方正仿宋_GBK"/>
          <w:sz w:val="30"/>
          <w:szCs w:val="30"/>
        </w:rPr>
        <w:t>20%—40%</w:t>
      </w:r>
      <w:r>
        <w:rPr>
          <w:rFonts w:eastAsia="方正仿宋_GBK"/>
          <w:sz w:val="30"/>
          <w:szCs w:val="30"/>
        </w:rPr>
        <w:t>的</w:t>
      </w:r>
      <w:r>
        <w:rPr>
          <w:rFonts w:eastAsia="方正仿宋_GBK" w:hint="eastAsia"/>
          <w:sz w:val="30"/>
          <w:szCs w:val="30"/>
        </w:rPr>
        <w:t>22</w:t>
      </w:r>
      <w:r>
        <w:rPr>
          <w:rFonts w:eastAsia="方正仿宋_GBK"/>
          <w:sz w:val="30"/>
          <w:szCs w:val="30"/>
        </w:rPr>
        <w:t>个。</w:t>
      </w:r>
      <w:r>
        <w:rPr>
          <w:rFonts w:hint="eastAsia" w:eastAsia="方正仿宋_GBK"/>
          <w:sz w:val="30"/>
          <w:szCs w:val="30"/>
        </w:rPr>
        <w:t>详见表</w:t>
      </w:r>
      <w:r>
        <w:rPr>
          <w:rFonts w:eastAsia="方正仿宋_GBK" w:hint="eastAsia"/>
          <w:sz w:val="30"/>
          <w:szCs w:val="30"/>
        </w:rPr>
        <w:t>1</w:t>
      </w:r>
      <w:r>
        <w:rPr>
          <w:rFonts w:hint="eastAsia" w:eastAsia="方正仿宋_GBK"/>
          <w:sz w:val="30"/>
          <w:szCs w:val="30"/>
        </w:rPr>
        <w:t>。</w:t>
      </w:r>
    </w:p>
    <w:p>
      <w:pPr>
        <w:pStyle w:val="Normal"/>
        <w:spacing w:lineRule="exact" w:line="588"/>
        <w:ind w:firstLineChars="200" w:startChars="0" w:start="0" w:endChars="0" w:end="0"/>
        <w:rPr>
          <w:rFonts w:eastAsia="方正仿宋_GBK" w:hint="eastAsia"/>
          <w:sz w:val="30"/>
          <w:szCs w:val="30"/>
        </w:rPr>
      </w:pPr>
      <w:r>
        <w:rPr>
          <w:rFonts w:eastAsia="方正仿宋_GBK"/>
          <w:sz w:val="30"/>
          <w:szCs w:val="30"/>
        </w:rPr>
        <w:t>山西、湖北和重庆</w:t>
      </w:r>
      <w:r>
        <w:rPr>
          <w:rFonts w:eastAsia="方正仿宋_GBK"/>
          <w:sz w:val="30"/>
          <w:szCs w:val="30"/>
        </w:rPr>
        <w:t>3</w:t>
      </w:r>
      <w:r>
        <w:rPr>
          <w:rFonts w:eastAsia="方正仿宋_GBK"/>
          <w:sz w:val="30"/>
          <w:szCs w:val="30"/>
        </w:rPr>
        <w:t>个省（直辖市）未完成可再生能源电力总量消纳责任权重，分别相差</w:t>
      </w:r>
      <w:r>
        <w:rPr>
          <w:rFonts w:eastAsia="方正仿宋_GBK"/>
          <w:sz w:val="30"/>
          <w:szCs w:val="30"/>
        </w:rPr>
        <w:t>0.3</w:t>
      </w:r>
      <w:r>
        <w:rPr>
          <w:rFonts w:eastAsia="方正仿宋_GBK"/>
          <w:sz w:val="30"/>
          <w:szCs w:val="30"/>
        </w:rPr>
        <w:t>、</w:t>
      </w:r>
      <w:r>
        <w:rPr>
          <w:rFonts w:eastAsia="方正仿宋_GBK"/>
          <w:sz w:val="30"/>
          <w:szCs w:val="30"/>
        </w:rPr>
        <w:t>3.0</w:t>
      </w:r>
      <w:r>
        <w:rPr>
          <w:rFonts w:eastAsia="方正仿宋_GBK"/>
          <w:sz w:val="30"/>
          <w:szCs w:val="30"/>
        </w:rPr>
        <w:t>、</w:t>
      </w:r>
      <w:r>
        <w:rPr>
          <w:rFonts w:eastAsia="方正仿宋_GBK"/>
          <w:sz w:val="30"/>
          <w:szCs w:val="30"/>
        </w:rPr>
        <w:t>1.9</w:t>
      </w:r>
      <w:r>
        <w:rPr>
          <w:rFonts w:eastAsia="方正仿宋_GBK"/>
          <w:sz w:val="30"/>
          <w:szCs w:val="30"/>
        </w:rPr>
        <w:t>个百分点。西藏免于考核、新疆只监测</w:t>
      </w:r>
      <w:r>
        <w:rPr>
          <w:rFonts w:hint="eastAsia" w:eastAsia="方正仿宋_GBK"/>
          <w:sz w:val="30"/>
          <w:szCs w:val="30"/>
        </w:rPr>
        <w:t>。</w:t>
      </w:r>
    </w:p>
    <w:p>
      <w:pPr>
        <w:pStyle w:val="Normal"/>
        <w:widowControl/>
        <w:spacing w:lineRule="exact" w:line="600"/>
        <w:jc w:val="center"/>
        <w:rPr>
          <w:rFonts w:eastAsia="黑体"/>
          <w:color w:val="000000"/>
          <w:kern w:val="0"/>
          <w:sz w:val="28"/>
        </w:rPr>
      </w:pPr>
      <w:r>
        <w:rPr>
          <w:rFonts w:eastAsia="黑体"/>
          <w:color w:val="000000"/>
          <w:kern w:val="0"/>
          <w:sz w:val="28"/>
        </w:rPr>
        <w:t>表</w:t>
      </w:r>
      <w:r>
        <w:rPr>
          <w:rFonts w:eastAsia="黑体"/>
          <w:color w:val="000000"/>
          <w:kern w:val="0"/>
          <w:sz w:val="28"/>
        </w:rPr>
        <w:t>1  2024</w:t>
      </w:r>
      <w:r>
        <w:rPr>
          <w:rFonts w:eastAsia="黑体"/>
          <w:color w:val="000000"/>
          <w:kern w:val="0"/>
          <w:sz w:val="28"/>
        </w:rPr>
        <w:t>年可再生能源电力消纳总量责任权重完成情况</w:t>
      </w:r>
    </w:p>
    <w:tbl>
      <w:tblPr>
        <w:tblW w:w="5000" w:type="pct"/>
        <w:jc w:val="center"/>
        <w:tblInd w:w="0" w:type="dxa"/>
        <w:tblLayout w:type="fixed"/>
        <w:tblCellMar>
          <w:top w:w="0" w:type="dxa"/>
          <w:start w:w="108" w:type="dxa"/>
          <w:bottom w:w="0" w:type="dxa"/>
          <w:end w:w="108" w:type="dxa"/>
        </w:tblCellMar>
      </w:tblPr>
      <w:tblGrid>
        <w:gridCol w:w="1421"/>
        <w:gridCol w:w="1704"/>
        <w:gridCol w:w="1719"/>
        <w:gridCol w:w="1718"/>
        <w:gridCol w:w="1750"/>
      </w:tblGrid>
      <w:tr>
        <w:trPr>
          <w:tblHeader w:val="true"/>
          <w:trHeight w:val="695" w:hRule="atLeast"/>
        </w:trPr>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b/>
                <w:bCs/>
                <w:color w:val="000000"/>
                <w:kern w:val="0"/>
                <w:szCs w:val="21"/>
              </w:rPr>
            </w:pPr>
            <w:r>
              <w:rPr>
                <w:b/>
                <w:bCs/>
                <w:color w:val="000000"/>
                <w:kern w:val="0"/>
                <w:szCs w:val="21"/>
              </w:rPr>
              <w:t>省（区、市）</w:t>
            </w:r>
          </w:p>
        </w:tc>
        <w:tc>
          <w:tcPr>
            <w:tcW w:w="1704" w:type="dxa"/>
            <w:tcBorders>
              <w:top w:val="single" w:sz="4" w:space="0" w:color="000000"/>
              <w:bottom w:val="single" w:sz="4" w:space="0" w:color="000000"/>
              <w:end w:val="single" w:sz="4" w:space="0" w:color="000000"/>
            </w:tcBorders>
            <w:vAlign w:val="center"/>
          </w:tcPr>
          <w:p>
            <w:pPr>
              <w:pStyle w:val="Normal"/>
              <w:widowControl/>
              <w:jc w:val="center"/>
              <w:rPr>
                <w:b/>
                <w:bCs/>
                <w:color w:val="000000"/>
                <w:kern w:val="0"/>
                <w:szCs w:val="21"/>
              </w:rPr>
            </w:pPr>
            <w:r>
              <w:rPr>
                <w:b/>
                <w:bCs/>
                <w:color w:val="000000"/>
                <w:kern w:val="0"/>
                <w:szCs w:val="21"/>
              </w:rPr>
              <w:t>实际完成</w:t>
            </w:r>
          </w:p>
          <w:p>
            <w:pPr>
              <w:pStyle w:val="Normal"/>
              <w:widowControl/>
              <w:jc w:val="center"/>
              <w:rPr>
                <w:b/>
                <w:bCs/>
                <w:color w:val="000000"/>
                <w:kern w:val="0"/>
                <w:szCs w:val="21"/>
              </w:rPr>
            </w:pPr>
            <w:r>
              <w:rPr>
                <w:b/>
                <w:bCs/>
                <w:color w:val="000000"/>
                <w:kern w:val="0"/>
                <w:szCs w:val="21"/>
              </w:rPr>
              <w:t>情况</w:t>
            </w:r>
          </w:p>
        </w:tc>
        <w:tc>
          <w:tcPr>
            <w:tcW w:w="1719" w:type="dxa"/>
            <w:tcBorders>
              <w:top w:val="single" w:sz="4" w:space="0" w:color="000000"/>
              <w:bottom w:val="single" w:sz="4" w:space="0" w:color="000000"/>
              <w:end w:val="single" w:sz="4" w:space="0" w:color="000000"/>
            </w:tcBorders>
            <w:vAlign w:val="center"/>
          </w:tcPr>
          <w:p>
            <w:pPr>
              <w:pStyle w:val="Normal"/>
              <w:widowControl/>
              <w:jc w:val="center"/>
              <w:rPr>
                <w:b/>
                <w:bCs/>
                <w:color w:val="000000"/>
                <w:kern w:val="0"/>
                <w:szCs w:val="21"/>
              </w:rPr>
            </w:pPr>
            <w:r>
              <w:rPr>
                <w:b/>
                <w:bCs/>
                <w:color w:val="000000"/>
                <w:kern w:val="0"/>
                <w:szCs w:val="21"/>
              </w:rPr>
              <w:t>同比增加</w:t>
            </w:r>
          </w:p>
          <w:p>
            <w:pPr>
              <w:pStyle w:val="Normal"/>
              <w:widowControl/>
              <w:jc w:val="center"/>
              <w:rPr>
                <w:b/>
                <w:bCs/>
                <w:color w:val="000000"/>
                <w:kern w:val="0"/>
                <w:szCs w:val="21"/>
              </w:rPr>
            </w:pPr>
            <w:r>
              <w:rPr>
                <w:b/>
                <w:bCs/>
                <w:color w:val="000000"/>
                <w:kern w:val="0"/>
                <w:szCs w:val="21"/>
              </w:rPr>
              <w:t>百分点</w:t>
            </w:r>
          </w:p>
        </w:tc>
        <w:tc>
          <w:tcPr>
            <w:tcW w:w="1718" w:type="dxa"/>
            <w:tcBorders>
              <w:top w:val="single" w:sz="4" w:space="0" w:color="000000"/>
              <w:bottom w:val="single" w:sz="4" w:space="0" w:color="000000"/>
              <w:end w:val="single" w:sz="4" w:space="0" w:color="000000"/>
            </w:tcBorders>
            <w:vAlign w:val="center"/>
          </w:tcPr>
          <w:p>
            <w:pPr>
              <w:pStyle w:val="Normal"/>
              <w:widowControl/>
              <w:jc w:val="center"/>
              <w:rPr>
                <w:b/>
                <w:bCs/>
                <w:color w:val="000000"/>
                <w:kern w:val="0"/>
                <w:szCs w:val="21"/>
              </w:rPr>
            </w:pPr>
            <w:r>
              <w:rPr>
                <w:b/>
                <w:color w:val="000000"/>
                <w:szCs w:val="21"/>
              </w:rPr>
              <w:t>下达的最低总量消纳责任权重</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b/>
                <w:bCs/>
                <w:color w:val="000000"/>
                <w:kern w:val="0"/>
                <w:szCs w:val="21"/>
              </w:rPr>
            </w:pPr>
            <w:r>
              <w:rPr>
                <w:b/>
                <w:bCs/>
                <w:color w:val="000000"/>
                <w:kern w:val="0"/>
                <w:szCs w:val="21"/>
              </w:rPr>
              <w:t>实际完成情况超出下达最低权重指标的百分点</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北京</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29.3%</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5.0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25.3%</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4.0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天津</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29.0%</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5.8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24.2%</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4.8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河北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27.3%</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2.9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24.9%</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2.4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山西</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27.5%</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-0.3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27.8%</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-0.3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内蒙古</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29.6%</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3.2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28.0%</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1.6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辽宁</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27.0%</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1.7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25.4%</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1.6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吉林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39.8%</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1.3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38.5%</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1.3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kern w:val="0"/>
                <w:szCs w:val="21"/>
              </w:rPr>
            </w:pPr>
            <w:r>
              <w:rPr>
                <w:rFonts w:eastAsia="仿宋"/>
                <w:color w:val="000000"/>
              </w:rPr>
              <w:t>黑龙江</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37.</w:t>
            </w:r>
            <w:r>
              <w:rPr>
                <w:rFonts w:eastAsia="仿宋" w:hint="eastAsia"/>
                <w:color w:val="000000"/>
              </w:rPr>
              <w:t>7</w:t>
            </w:r>
            <w:r>
              <w:rPr>
                <w:rFonts w:eastAsia="仿宋"/>
                <w:color w:val="000000"/>
              </w:rPr>
              <w:t>%</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5.</w:t>
            </w:r>
            <w:r>
              <w:rPr>
                <w:rFonts w:eastAsia="DengXian;华文中宋" w:hint="eastAsia"/>
                <w:color w:val="000000"/>
                <w:sz w:val="22"/>
                <w:szCs w:val="22"/>
              </w:rPr>
              <w:t>1</w:t>
            </w:r>
            <w:r>
              <w:rPr>
                <w:rFonts w:eastAsia="DengXian;华文中宋"/>
                <w:color w:val="000000"/>
                <w:sz w:val="22"/>
                <w:szCs w:val="22"/>
              </w:rPr>
              <w:t xml:space="preserve">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32.6%</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5.</w:t>
            </w:r>
            <w:r>
              <w:rPr>
                <w:rFonts w:eastAsia="DengXian;华文中宋" w:hint="eastAsia"/>
                <w:color w:val="000000"/>
                <w:sz w:val="22"/>
                <w:szCs w:val="22"/>
              </w:rPr>
              <w:t>1</w:t>
            </w:r>
            <w:r>
              <w:rPr>
                <w:rFonts w:eastAsia="DengXian;华文中宋"/>
                <w:color w:val="000000"/>
                <w:sz w:val="22"/>
                <w:szCs w:val="22"/>
              </w:rPr>
              <w:t xml:space="preserve">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上海</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31.</w:t>
            </w:r>
            <w:r>
              <w:rPr>
                <w:rFonts w:eastAsia="仿宋" w:hint="eastAsia"/>
                <w:color w:val="000000"/>
              </w:rPr>
              <w:t>3</w:t>
            </w:r>
            <w:r>
              <w:rPr>
                <w:rFonts w:eastAsia="仿宋"/>
                <w:color w:val="000000"/>
              </w:rPr>
              <w:t>%</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1.</w:t>
            </w:r>
            <w:r>
              <w:rPr>
                <w:rFonts w:eastAsia="DengXian;华文中宋" w:hint="eastAsia"/>
                <w:color w:val="000000"/>
                <w:sz w:val="22"/>
                <w:szCs w:val="22"/>
              </w:rPr>
              <w:t>0</w:t>
            </w:r>
            <w:r>
              <w:rPr>
                <w:rFonts w:eastAsia="DengXian;华文中宋"/>
                <w:color w:val="000000"/>
                <w:sz w:val="22"/>
                <w:szCs w:val="22"/>
              </w:rPr>
              <w:t xml:space="preserve">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31.3%</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hint="eastAsia"/>
                <w:color w:val="000000"/>
                <w:sz w:val="22"/>
                <w:szCs w:val="22"/>
              </w:rPr>
              <w:t>0</w:t>
            </w:r>
            <w:r>
              <w:rPr>
                <w:rFonts w:eastAsia="DengXian;华文中宋"/>
                <w:color w:val="000000"/>
                <w:sz w:val="22"/>
                <w:szCs w:val="22"/>
              </w:rPr>
              <w:t xml:space="preserve">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江苏</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26.0%</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2.8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24.2%</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1.8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浙江</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25.2%</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3.1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23.7%</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1.5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安徽</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25.3%</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3.0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23.3%</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2.0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福建</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26.0%</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2.9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23.4%</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2.6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江西</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35.0%</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2.3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32.7%</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2.3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山东</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24.2%</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4.2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20.0%</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4.2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河南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35.2%</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1.7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33.6%</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1.6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湖北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42.3%</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-2.8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45.3%</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-3.0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湖南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52.1%</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5.7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46.8%</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5.3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广东</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32.5%</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4.4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29.5%</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 xml:space="preserve">3.0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广西</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52.4%</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13.6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39.2%</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 xml:space="preserve">13.2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海南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28.</w:t>
            </w:r>
            <w:r>
              <w:rPr>
                <w:rFonts w:eastAsia="仿宋" w:hint="eastAsia"/>
                <w:color w:val="000000"/>
              </w:rPr>
              <w:t>0</w:t>
            </w:r>
            <w:r>
              <w:rPr>
                <w:rFonts w:eastAsia="仿宋"/>
                <w:color w:val="000000"/>
              </w:rPr>
              <w:t>%</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6.</w:t>
            </w:r>
            <w:r>
              <w:rPr>
                <w:rFonts w:eastAsia="DengXian;华文中宋" w:hint="eastAsia"/>
                <w:color w:val="000000"/>
                <w:sz w:val="22"/>
                <w:szCs w:val="22"/>
              </w:rPr>
              <w:t>4</w:t>
            </w:r>
            <w:r>
              <w:rPr>
                <w:rFonts w:eastAsia="DengXian;华文中宋"/>
                <w:color w:val="000000"/>
                <w:sz w:val="22"/>
                <w:szCs w:val="22"/>
              </w:rPr>
              <w:t xml:space="preserve">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21.8%</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6.</w:t>
            </w:r>
            <w:r>
              <w:rPr>
                <w:rFonts w:eastAsia="DengXian;华文中宋" w:hint="eastAsia"/>
                <w:color w:val="000000"/>
                <w:sz w:val="22"/>
                <w:szCs w:val="22"/>
              </w:rPr>
              <w:t>2</w:t>
            </w:r>
            <w:r>
              <w:rPr>
                <w:rFonts w:eastAsia="DengXian;华文中宋"/>
                <w:color w:val="000000"/>
                <w:sz w:val="22"/>
                <w:szCs w:val="22"/>
              </w:rPr>
              <w:t xml:space="preserve">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重庆</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35.8%</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-1.6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37.7%</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-1.9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四川</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74.5%</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-1.5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70.0%</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4.5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贵州</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43.1%</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6.2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37.0%</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 xml:space="preserve">6.1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DengXian;华文中宋"/>
                <w:color w:val="000000"/>
                <w:kern w:val="0"/>
                <w:szCs w:val="21"/>
              </w:rPr>
            </w:pPr>
            <w:r>
              <w:rPr>
                <w:rFonts w:eastAsia="仿宋"/>
                <w:color w:val="000000"/>
              </w:rPr>
              <w:t>云南</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79.1%</w:t>
            </w:r>
          </w:p>
        </w:tc>
        <w:tc>
          <w:tcPr>
            <w:tcW w:w="1719" w:type="dxa"/>
            <w:tcBorders>
              <w:bottom w:val="single" w:sz="4" w:space="0" w:color="000000"/>
              <w:end w:val="single" w:sz="4" w:space="0" w:color="000000"/>
            </w:tcBorders>
            <w:vAlign w:val="center"/>
          </w:tcPr>
          <w:p>
            <w:pPr>
              <w:pStyle w:val="Normal"/>
              <w:widowControl/>
              <w:jc w:val="center"/>
              <w:textAlignment w:val="center"/>
              <w:rPr>
                <w:kern w:val="0"/>
                <w:szCs w:val="21"/>
                <w:lang w:bidi="ar"/>
              </w:rPr>
            </w:pPr>
            <w:r>
              <w:rPr>
                <w:rFonts w:eastAsia="DengXian;华文中宋"/>
                <w:color w:val="000000"/>
                <w:sz w:val="22"/>
                <w:szCs w:val="22"/>
              </w:rPr>
              <w:t xml:space="preserve">4.0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70.0%</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9.1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西藏</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color w:val="000000"/>
              </w:rPr>
              <w:t>89.</w:t>
            </w:r>
            <w:r>
              <w:rPr>
                <w:rFonts w:hint="eastAsia"/>
                <w:color w:val="000000"/>
              </w:rPr>
              <w:t>6</w:t>
            </w:r>
            <w:r>
              <w:rPr>
                <w:color w:val="000000"/>
              </w:rPr>
              <w:t>%</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-4.</w:t>
            </w:r>
            <w:r>
              <w:rPr>
                <w:rFonts w:eastAsia="DengXian;华文中宋" w:hint="eastAsia"/>
                <w:color w:val="000000"/>
                <w:sz w:val="22"/>
                <w:szCs w:val="22"/>
              </w:rPr>
              <w:t>5</w:t>
            </w:r>
            <w:r>
              <w:rPr>
                <w:rFonts w:eastAsia="DengXian;华文中宋"/>
                <w:color w:val="000000"/>
                <w:sz w:val="22"/>
                <w:szCs w:val="22"/>
              </w:rPr>
              <w:t xml:space="preserve">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rPr>
            </w:pPr>
            <w:r>
              <w:rPr>
                <w:rFonts w:eastAsia="仿宋"/>
                <w:color w:val="000000"/>
              </w:rPr>
              <w:t>不考核</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rPr>
            </w:pPr>
            <w:r>
              <w:rPr>
                <w:rFonts w:eastAsia="仿宋"/>
                <w:color w:val="000000"/>
              </w:rPr>
              <w:t>不考核</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陕西</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26.</w:t>
            </w:r>
            <w:r>
              <w:rPr>
                <w:rFonts w:eastAsia="仿宋" w:hint="eastAsia"/>
                <w:color w:val="000000"/>
              </w:rPr>
              <w:t>6</w:t>
            </w:r>
            <w:r>
              <w:rPr>
                <w:rFonts w:eastAsia="仿宋"/>
                <w:color w:val="000000"/>
              </w:rPr>
              <w:t>%</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0.</w:t>
            </w:r>
            <w:r>
              <w:rPr>
                <w:rFonts w:eastAsia="DengXian;华文中宋" w:hint="eastAsia"/>
                <w:color w:val="000000"/>
                <w:sz w:val="22"/>
                <w:szCs w:val="22"/>
              </w:rPr>
              <w:t>7</w:t>
            </w:r>
            <w:r>
              <w:rPr>
                <w:rFonts w:eastAsia="DengXian;华文中宋"/>
                <w:color w:val="000000"/>
                <w:sz w:val="22"/>
                <w:szCs w:val="22"/>
              </w:rPr>
              <w:t xml:space="preserve">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26.2%</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0.</w:t>
            </w:r>
            <w:r>
              <w:rPr>
                <w:rFonts w:eastAsia="DengXian;华文中宋" w:hint="eastAsia"/>
                <w:color w:val="000000"/>
                <w:sz w:val="22"/>
                <w:szCs w:val="22"/>
              </w:rPr>
              <w:t>4</w:t>
            </w:r>
            <w:r>
              <w:rPr>
                <w:rFonts w:eastAsia="DengXian;华文中宋"/>
                <w:color w:val="000000"/>
                <w:sz w:val="22"/>
                <w:szCs w:val="22"/>
              </w:rPr>
              <w:t xml:space="preserve">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甘肃</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53.3%</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1.7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51.7%</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 xml:space="preserve">1.6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青海</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77.</w:t>
            </w:r>
            <w:r>
              <w:rPr>
                <w:rFonts w:eastAsia="仿宋" w:hint="eastAsia"/>
                <w:color w:val="000000"/>
              </w:rPr>
              <w:t>2</w:t>
            </w:r>
            <w:r>
              <w:rPr>
                <w:rFonts w:eastAsia="仿宋"/>
                <w:color w:val="000000"/>
              </w:rPr>
              <w:t>%</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5</w:t>
            </w:r>
            <w:r>
              <w:rPr>
                <w:rFonts w:eastAsia="DengXian;华文中宋" w:hint="eastAsia"/>
                <w:color w:val="000000"/>
                <w:sz w:val="22"/>
                <w:szCs w:val="22"/>
              </w:rPr>
              <w:t>.2</w:t>
            </w:r>
            <w:r>
              <w:rPr>
                <w:rFonts w:eastAsia="DengXian;华文中宋"/>
                <w:color w:val="000000"/>
                <w:sz w:val="22"/>
                <w:szCs w:val="22"/>
              </w:rPr>
              <w:t xml:space="preserve">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rPr>
              <w:t>70.0%</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rFonts w:eastAsia="DengXian;华文中宋"/>
                <w:color w:val="000000"/>
                <w:sz w:val="22"/>
                <w:szCs w:val="22"/>
              </w:rPr>
              <w:t>7.</w:t>
            </w:r>
            <w:r>
              <w:rPr>
                <w:rFonts w:eastAsia="DengXian;华文中宋" w:hint="eastAsia"/>
                <w:color w:val="000000"/>
                <w:sz w:val="22"/>
                <w:szCs w:val="22"/>
              </w:rPr>
              <w:t>2</w:t>
            </w:r>
            <w:r>
              <w:rPr>
                <w:rFonts w:eastAsia="DengXian;华文中宋"/>
                <w:color w:val="000000"/>
                <w:sz w:val="22"/>
                <w:szCs w:val="22"/>
              </w:rPr>
              <w:t xml:space="preserve">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b/>
                <w:bCs/>
                <w:szCs w:val="21"/>
              </w:rPr>
            </w:pPr>
            <w:r>
              <w:rPr>
                <w:rFonts w:eastAsia="仿宋"/>
                <w:color w:val="000000"/>
              </w:rPr>
              <w:t>宁夏</w:t>
            </w:r>
          </w:p>
        </w:tc>
        <w:tc>
          <w:tcPr>
            <w:tcW w:w="1704" w:type="dxa"/>
            <w:tcBorders>
              <w:bottom w:val="single" w:sz="4" w:space="0" w:color="000000"/>
              <w:end w:val="single" w:sz="4" w:space="0" w:color="000000"/>
            </w:tcBorders>
            <w:vAlign w:val="center"/>
          </w:tcPr>
          <w:p>
            <w:pPr>
              <w:pStyle w:val="Normal"/>
              <w:widowControl/>
              <w:jc w:val="center"/>
              <w:textAlignment w:val="center"/>
              <w:rPr>
                <w:szCs w:val="21"/>
              </w:rPr>
            </w:pPr>
            <w:r>
              <w:rPr>
                <w:rFonts w:eastAsia="仿宋"/>
                <w:color w:val="000000"/>
              </w:rPr>
              <w:t>34.5%</w:t>
            </w:r>
          </w:p>
        </w:tc>
        <w:tc>
          <w:tcPr>
            <w:tcW w:w="1719" w:type="dxa"/>
            <w:tcBorders>
              <w:bottom w:val="single" w:sz="4" w:space="0" w:color="000000"/>
              <w:end w:val="single" w:sz="4" w:space="0" w:color="000000"/>
            </w:tcBorders>
            <w:vAlign w:val="center"/>
          </w:tcPr>
          <w:p>
            <w:pPr>
              <w:pStyle w:val="Normal"/>
              <w:widowControl/>
              <w:jc w:val="center"/>
              <w:textAlignment w:val="center"/>
              <w:rPr>
                <w:szCs w:val="21"/>
              </w:rPr>
            </w:pPr>
            <w:r>
              <w:rPr>
                <w:rFonts w:eastAsia="DengXian;华文中宋"/>
                <w:color w:val="000000"/>
                <w:sz w:val="22"/>
                <w:szCs w:val="22"/>
              </w:rPr>
              <w:t xml:space="preserve">0.2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szCs w:val="21"/>
              </w:rPr>
            </w:pPr>
            <w:r>
              <w:rPr>
                <w:rFonts w:eastAsia="DengXian;华文中宋"/>
                <w:color w:val="000000"/>
              </w:rPr>
              <w:t>34.3%</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szCs w:val="21"/>
              </w:rPr>
            </w:pPr>
            <w:r>
              <w:rPr>
                <w:rFonts w:eastAsia="DengXian;华文中宋"/>
                <w:color w:val="000000"/>
                <w:sz w:val="22"/>
                <w:szCs w:val="22"/>
              </w:rPr>
              <w:t xml:space="preserve">0.2 </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eastAsia="仿宋"/>
                <w:color w:val="000000"/>
              </w:rPr>
              <w:t>新疆</w:t>
            </w:r>
          </w:p>
        </w:tc>
        <w:tc>
          <w:tcPr>
            <w:tcW w:w="1704"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仿宋"/>
                <w:color w:val="000000"/>
              </w:rPr>
              <w:t>28.9%</w:t>
            </w:r>
          </w:p>
        </w:tc>
        <w:tc>
          <w:tcPr>
            <w:tcW w:w="1719" w:type="dxa"/>
            <w:tcBorders>
              <w:bottom w:val="single" w:sz="4" w:space="0" w:color="000000"/>
              <w:end w:val="single" w:sz="4" w:space="0" w:color="000000"/>
            </w:tcBorders>
            <w:vAlign w:val="center"/>
          </w:tcPr>
          <w:p>
            <w:pPr>
              <w:pStyle w:val="Normal"/>
              <w:widowControl/>
              <w:jc w:val="center"/>
              <w:textAlignment w:val="center"/>
              <w:rPr>
                <w:bCs/>
                <w:kern w:val="0"/>
                <w:szCs w:val="21"/>
              </w:rPr>
            </w:pPr>
            <w:r>
              <w:rPr>
                <w:rFonts w:eastAsia="DengXian;华文中宋"/>
                <w:color w:val="000000"/>
                <w:sz w:val="22"/>
                <w:szCs w:val="22"/>
              </w:rPr>
              <w:t xml:space="preserve">6.4 </w:t>
            </w:r>
          </w:p>
        </w:tc>
        <w:tc>
          <w:tcPr>
            <w:tcW w:w="1718" w:type="dxa"/>
            <w:tcBorders>
              <w:top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rPr>
            </w:pPr>
            <w:r>
              <w:rPr>
                <w:rFonts w:eastAsia="仿宋"/>
                <w:color w:val="000000"/>
              </w:rPr>
              <w:t>只监测</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rPr>
            </w:pPr>
            <w:r>
              <w:rPr>
                <w:rFonts w:eastAsia="仿宋"/>
                <w:color w:val="000000"/>
              </w:rPr>
              <w:t>只监测</w:t>
            </w:r>
          </w:p>
        </w:tc>
      </w:tr>
      <w:tr>
        <w:trPr>
          <w:trHeight w:val="323" w:hRule="atLeast"/>
        </w:trPr>
        <w:tc>
          <w:tcPr>
            <w:tcW w:w="1421" w:type="dxa"/>
            <w:tcBorders>
              <w:start w:val="single" w:sz="4" w:space="0" w:color="000000"/>
              <w:bottom w:val="single" w:sz="4" w:space="0" w:color="000000"/>
              <w:end w:val="single" w:sz="4" w:space="0" w:color="000000"/>
            </w:tcBorders>
            <w:vAlign w:val="center"/>
          </w:tcPr>
          <w:p>
            <w:pPr>
              <w:pStyle w:val="Normal"/>
              <w:widowControl/>
              <w:jc w:val="center"/>
              <w:textAlignment w:val="center"/>
              <w:rPr>
                <w:b/>
                <w:bCs/>
                <w:color w:val="000000"/>
                <w:kern w:val="0"/>
                <w:szCs w:val="21"/>
              </w:rPr>
            </w:pPr>
            <w:r>
              <w:rPr>
                <w:b/>
                <w:bCs/>
                <w:color w:val="000000"/>
                <w:szCs w:val="21"/>
              </w:rPr>
              <w:t>全国</w:t>
            </w:r>
          </w:p>
        </w:tc>
        <w:tc>
          <w:tcPr>
            <w:tcW w:w="1704" w:type="dxa"/>
            <w:tcBorders>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35.2%</w:t>
            </w:r>
          </w:p>
        </w:tc>
        <w:tc>
          <w:tcPr>
            <w:tcW w:w="1719" w:type="dxa"/>
            <w:tcBorders>
              <w:bottom w:val="single" w:sz="4" w:space="0" w:color="000000"/>
              <w:end w:val="single" w:sz="4" w:space="0" w:color="000000"/>
            </w:tcBorders>
            <w:vAlign w:val="center"/>
          </w:tcPr>
          <w:p>
            <w:pPr>
              <w:pStyle w:val="Normal"/>
              <w:widowControl/>
              <w:jc w:val="center"/>
              <w:textAlignment w:val="center"/>
              <w:rPr>
                <w:b/>
                <w:bCs/>
                <w:kern w:val="0"/>
                <w:szCs w:val="21"/>
              </w:rPr>
            </w:pPr>
            <w:r>
              <w:rPr>
                <w:rFonts w:eastAsia="DengXian;华文中宋"/>
                <w:color w:val="000000"/>
                <w:sz w:val="22"/>
                <w:szCs w:val="22"/>
              </w:rPr>
              <w:t>3.2</w:t>
            </w:r>
          </w:p>
        </w:tc>
        <w:tc>
          <w:tcPr>
            <w:tcW w:w="1718" w:type="dxa"/>
            <w:tcBorders>
              <w:top w:val="single" w:sz="4" w:space="0" w:color="000000"/>
              <w:bottom w:val="single" w:sz="4" w:space="0" w:color="000000"/>
              <w:end w:val="single" w:sz="4" w:space="0" w:color="000000"/>
            </w:tcBorders>
            <w:vAlign w:val="center"/>
          </w:tcPr>
          <w:p>
            <w:pPr>
              <w:pStyle w:val="Normal"/>
              <w:jc w:val="center"/>
              <w:rPr>
                <w:b/>
                <w:kern w:val="0"/>
                <w:szCs w:val="21"/>
              </w:rPr>
            </w:pPr>
            <w:r>
              <w:rPr>
                <w:rFonts w:eastAsia="DengXian;华文中宋"/>
                <w:b/>
                <w:bCs/>
                <w:color w:val="000000"/>
                <w:szCs w:val="21"/>
              </w:rPr>
              <w:t>　</w:t>
            </w:r>
          </w:p>
        </w:tc>
        <w:tc>
          <w:tcPr>
            <w:tcW w:w="1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val="000000"/>
                <w:kern w:val="0"/>
                <w:szCs w:val="21"/>
              </w:rPr>
            </w:pPr>
            <w:r>
              <w:rPr>
                <w:rFonts w:eastAsia="DengXian;华文中宋"/>
                <w:b/>
                <w:bCs/>
                <w:color w:val="000000"/>
                <w:szCs w:val="21"/>
              </w:rPr>
              <w:t>　</w:t>
            </w:r>
          </w:p>
        </w:tc>
      </w:tr>
      <w:tr>
        <w:trPr>
          <w:trHeight w:val="270" w:hRule="atLeast"/>
        </w:trPr>
        <w:tc>
          <w:tcPr>
            <w:tcW w:w="8312"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b/>
                <w:bCs/>
                <w:color w:val="000000"/>
                <w:kern w:val="0"/>
                <w:szCs w:val="21"/>
              </w:rPr>
            </w:pPr>
            <w:r>
              <w:rPr>
                <w:b/>
                <w:bCs/>
                <w:color w:val="000000"/>
                <w:kern w:val="0"/>
                <w:szCs w:val="21"/>
              </w:rPr>
              <w:t>备注：</w:t>
            </w:r>
          </w:p>
          <w:p>
            <w:pPr>
              <w:pStyle w:val="Normal"/>
              <w:widowControl/>
              <w:jc w:val="start"/>
              <w:rPr>
                <w:kern w:val="0"/>
                <w:sz w:val="22"/>
                <w:szCs w:val="22"/>
              </w:rPr>
            </w:pPr>
            <w:r>
              <w:rPr>
                <w:kern w:val="0"/>
                <w:sz w:val="22"/>
                <w:szCs w:val="22"/>
              </w:rPr>
              <w:t>1.</w:t>
            </w:r>
            <w:r>
              <w:rPr>
                <w:kern w:val="0"/>
                <w:sz w:val="22"/>
                <w:szCs w:val="22"/>
              </w:rPr>
              <w:t>西藏不参与考核，新疆只监测。</w:t>
            </w:r>
          </w:p>
          <w:p>
            <w:pPr>
              <w:pStyle w:val="Normal"/>
              <w:widowControl/>
              <w:jc w:val="start"/>
              <w:rPr>
                <w:kern w:val="0"/>
                <w:sz w:val="22"/>
                <w:szCs w:val="22"/>
              </w:rPr>
            </w:pPr>
            <w:r>
              <w:rPr>
                <w:kern w:val="0"/>
                <w:sz w:val="22"/>
                <w:szCs w:val="22"/>
              </w:rPr>
              <w:t>2.</w:t>
            </w:r>
            <w:r>
              <w:rPr>
                <w:rFonts w:hint="eastAsia"/>
                <w:kern w:val="0"/>
                <w:sz w:val="22"/>
                <w:szCs w:val="22"/>
              </w:rPr>
              <w:t>京津冀地区接入的集中式可再生能源发电项目按全社会用电量比例分摊原则计入各区域消纳量。</w:t>
            </w:r>
          </w:p>
          <w:p>
            <w:pPr>
              <w:pStyle w:val="Normal"/>
              <w:rPr>
                <w:szCs w:val="21"/>
              </w:rPr>
            </w:pPr>
            <w:r>
              <w:rPr>
                <w:kern w:val="0"/>
                <w:sz w:val="22"/>
                <w:szCs w:val="22"/>
              </w:rPr>
              <w:t>3.</w:t>
            </w:r>
            <w:r>
              <w:rPr>
                <w:kern w:val="0"/>
                <w:sz w:val="22"/>
                <w:szCs w:val="22"/>
              </w:rPr>
              <w:t>湖南水电受入电量已考虑贵州至湖南点对网</w:t>
            </w:r>
            <w:r>
              <w:rPr>
                <w:kern w:val="0"/>
                <w:sz w:val="22"/>
                <w:szCs w:val="22"/>
              </w:rPr>
              <w:t>38</w:t>
            </w:r>
            <w:r>
              <w:rPr>
                <w:kern w:val="0"/>
                <w:sz w:val="22"/>
                <w:szCs w:val="22"/>
              </w:rPr>
              <w:t>亿千瓦时发电量。</w:t>
            </w:r>
          </w:p>
        </w:tc>
      </w:tr>
    </w:tbl>
    <w:p>
      <w:pPr>
        <w:pStyle w:val="Normal"/>
        <w:spacing w:lineRule="exact" w:line="588"/>
        <w:ind w:start="600" w:end="0"/>
        <w:rPr>
          <w:rFonts w:ascii="方正楷体_GBK" w:hAnsi="方正楷体_GBK" w:eastAsia="方正楷体_GBK" w:cs="方正楷体_GBK" w:hint="eastAsia"/>
          <w:sz w:val="30"/>
          <w:szCs w:val="30"/>
        </w:rPr>
      </w:pPr>
      <w:r>
        <w:rPr>
          <w:rFonts w:ascii="方正楷体_GBK" w:hAnsi="方正楷体_GBK" w:cs="方正楷体_GBK" w:hint="eastAsia" w:eastAsia="方正楷体_GBK"/>
          <w:sz w:val="30"/>
          <w:szCs w:val="30"/>
        </w:rPr>
        <w:t>（二）非水电可再生能源电力消纳责任权重完成情况</w:t>
      </w:r>
    </w:p>
    <w:p>
      <w:pPr>
        <w:pStyle w:val="Normal"/>
        <w:spacing w:lineRule="exact" w:line="588"/>
        <w:ind w:firstLineChars="200" w:startChars="0" w:start="0" w:endChars="0" w:end="0"/>
        <w:rPr>
          <w:rFonts w:eastAsia="方正仿宋_GBK"/>
          <w:sz w:val="30"/>
          <w:szCs w:val="30"/>
        </w:rPr>
      </w:pPr>
      <w:r>
        <w:rPr>
          <w:rFonts w:eastAsia="方正仿宋_GBK"/>
          <w:sz w:val="30"/>
          <w:szCs w:val="30"/>
        </w:rPr>
        <w:t>全国非水电可再生能源电力消纳责任权重实际完成</w:t>
      </w:r>
      <w:r>
        <w:rPr>
          <w:rFonts w:eastAsia="方正仿宋_GBK"/>
          <w:sz w:val="30"/>
          <w:szCs w:val="30"/>
        </w:rPr>
        <w:t>20.8%</w:t>
      </w:r>
      <w:r>
        <w:rPr>
          <w:rFonts w:eastAsia="方正仿宋_GBK"/>
          <w:sz w:val="30"/>
          <w:szCs w:val="30"/>
        </w:rPr>
        <w:t>，同比增长</w:t>
      </w:r>
      <w:r>
        <w:rPr>
          <w:rFonts w:eastAsia="方正仿宋_GBK"/>
          <w:sz w:val="30"/>
          <w:szCs w:val="30"/>
        </w:rPr>
        <w:t>2.7</w:t>
      </w:r>
      <w:r>
        <w:rPr>
          <w:rFonts w:eastAsia="方正仿宋_GBK"/>
          <w:sz w:val="30"/>
          <w:szCs w:val="30"/>
        </w:rPr>
        <w:t>个百分点。</w:t>
      </w:r>
    </w:p>
    <w:p>
      <w:pPr>
        <w:pStyle w:val="Normal"/>
        <w:spacing w:lineRule="exact" w:line="588"/>
        <w:ind w:firstLineChars="200" w:startChars="0" w:start="0" w:endChars="0" w:end="0"/>
        <w:rPr>
          <w:rFonts w:eastAsia="方正仿宋_GBK"/>
          <w:sz w:val="30"/>
          <w:szCs w:val="30"/>
        </w:rPr>
      </w:pPr>
      <w:r>
        <w:rPr>
          <w:rFonts w:eastAsia="方正仿宋_GBK"/>
          <w:sz w:val="30"/>
          <w:szCs w:val="30"/>
        </w:rPr>
        <w:t>北京等</w:t>
      </w:r>
      <w:r>
        <w:rPr>
          <w:rFonts w:eastAsia="方正仿宋_GBK"/>
          <w:sz w:val="30"/>
          <w:szCs w:val="30"/>
        </w:rPr>
        <w:t>28</w:t>
      </w:r>
      <w:r>
        <w:rPr>
          <w:rFonts w:eastAsia="方正仿宋_GBK"/>
          <w:sz w:val="30"/>
          <w:szCs w:val="30"/>
        </w:rPr>
        <w:t>个省（自治区、直辖市）完成国家下达的非水电消纳责任权重，其中吉林、黑龙江、</w:t>
      </w:r>
      <w:r>
        <w:rPr>
          <w:rFonts w:hint="eastAsia" w:eastAsia="方正仿宋_GBK"/>
          <w:sz w:val="30"/>
          <w:szCs w:val="30"/>
        </w:rPr>
        <w:t>河南、</w:t>
      </w:r>
      <w:r>
        <w:rPr>
          <w:rFonts w:eastAsia="方正仿宋_GBK"/>
          <w:sz w:val="30"/>
          <w:szCs w:val="30"/>
        </w:rPr>
        <w:t>甘肃、青海、宁夏</w:t>
      </w:r>
      <w:r>
        <w:rPr>
          <w:rFonts w:eastAsia="方正仿宋_GBK" w:hint="eastAsia"/>
          <w:sz w:val="30"/>
          <w:szCs w:val="30"/>
        </w:rPr>
        <w:t>6</w:t>
      </w:r>
      <w:r>
        <w:rPr>
          <w:rFonts w:eastAsia="方正仿宋_GBK"/>
          <w:sz w:val="30"/>
          <w:szCs w:val="30"/>
        </w:rPr>
        <w:t>省（自治区）非水电消纳责任权重完成超过</w:t>
      </w:r>
      <w:r>
        <w:rPr>
          <w:rFonts w:eastAsia="方正仿宋_GBK"/>
          <w:sz w:val="30"/>
          <w:szCs w:val="30"/>
        </w:rPr>
        <w:t>30%</w:t>
      </w:r>
      <w:r>
        <w:rPr>
          <w:rFonts w:eastAsia="方正仿宋_GBK"/>
          <w:sz w:val="30"/>
          <w:szCs w:val="30"/>
        </w:rPr>
        <w:t>。</w:t>
      </w:r>
      <w:r>
        <w:rPr>
          <w:rFonts w:eastAsia="方正仿宋_GBK"/>
          <w:sz w:val="30"/>
          <w:szCs w:val="30"/>
        </w:rPr>
        <w:t>31</w:t>
      </w:r>
      <w:r>
        <w:rPr>
          <w:rFonts w:eastAsia="方正仿宋_GBK"/>
          <w:sz w:val="30"/>
          <w:szCs w:val="30"/>
        </w:rPr>
        <w:t>个省（自治区、直辖市）中，非水电可再生能源电力消纳量占全社会用电量的比重超过</w:t>
      </w:r>
      <w:r>
        <w:rPr>
          <w:rFonts w:eastAsia="方正仿宋_GBK"/>
          <w:sz w:val="30"/>
          <w:szCs w:val="30"/>
        </w:rPr>
        <w:t>20%</w:t>
      </w:r>
      <w:r>
        <w:rPr>
          <w:rFonts w:eastAsia="方正仿宋_GBK"/>
          <w:sz w:val="30"/>
          <w:szCs w:val="30"/>
        </w:rPr>
        <w:t>的</w:t>
      </w:r>
      <w:r>
        <w:rPr>
          <w:rFonts w:eastAsia="方正仿宋_GBK"/>
          <w:sz w:val="30"/>
          <w:szCs w:val="30"/>
        </w:rPr>
        <w:t>22</w:t>
      </w:r>
      <w:r>
        <w:rPr>
          <w:rFonts w:eastAsia="方正仿宋_GBK"/>
          <w:sz w:val="30"/>
          <w:szCs w:val="30"/>
        </w:rPr>
        <w:t>个、</w:t>
      </w:r>
      <w:r>
        <w:rPr>
          <w:rFonts w:eastAsia="方正仿宋_GBK"/>
          <w:sz w:val="30"/>
          <w:szCs w:val="30"/>
        </w:rPr>
        <w:t>10%—20%</w:t>
      </w:r>
      <w:r>
        <w:rPr>
          <w:rFonts w:eastAsia="方正仿宋_GBK"/>
          <w:sz w:val="30"/>
          <w:szCs w:val="30"/>
        </w:rPr>
        <w:t>的</w:t>
      </w:r>
      <w:r>
        <w:rPr>
          <w:rFonts w:eastAsia="方正仿宋_GBK"/>
          <w:sz w:val="30"/>
          <w:szCs w:val="30"/>
        </w:rPr>
        <w:t>7</w:t>
      </w:r>
      <w:r>
        <w:rPr>
          <w:rFonts w:eastAsia="方正仿宋_GBK"/>
          <w:sz w:val="30"/>
          <w:szCs w:val="30"/>
        </w:rPr>
        <w:t>个、</w:t>
      </w:r>
      <w:r>
        <w:rPr>
          <w:rFonts w:eastAsia="方正仿宋_GBK"/>
          <w:sz w:val="30"/>
          <w:szCs w:val="30"/>
        </w:rPr>
        <w:t>5%—10%</w:t>
      </w:r>
      <w:r>
        <w:rPr>
          <w:rFonts w:eastAsia="方正仿宋_GBK"/>
          <w:sz w:val="30"/>
          <w:szCs w:val="30"/>
        </w:rPr>
        <w:t>的</w:t>
      </w:r>
      <w:r>
        <w:rPr>
          <w:rFonts w:eastAsia="方正仿宋_GBK"/>
          <w:sz w:val="30"/>
          <w:szCs w:val="30"/>
        </w:rPr>
        <w:t>2</w:t>
      </w:r>
      <w:r>
        <w:rPr>
          <w:rFonts w:eastAsia="方正仿宋_GBK"/>
          <w:sz w:val="30"/>
          <w:szCs w:val="30"/>
        </w:rPr>
        <w:t>个。</w:t>
      </w:r>
      <w:r>
        <w:rPr>
          <w:rFonts w:hint="eastAsia" w:eastAsia="方正仿宋_GBK"/>
          <w:sz w:val="30"/>
          <w:szCs w:val="30"/>
        </w:rPr>
        <w:t>详见表</w:t>
      </w:r>
      <w:r>
        <w:rPr>
          <w:rFonts w:eastAsia="方正仿宋_GBK" w:hint="eastAsia"/>
          <w:sz w:val="30"/>
          <w:szCs w:val="30"/>
        </w:rPr>
        <w:t>2</w:t>
      </w:r>
      <w:r>
        <w:rPr>
          <w:rFonts w:hint="eastAsia" w:eastAsia="方正仿宋_GBK"/>
          <w:sz w:val="30"/>
          <w:szCs w:val="30"/>
        </w:rPr>
        <w:t>。</w:t>
      </w:r>
    </w:p>
    <w:p>
      <w:pPr>
        <w:pStyle w:val="Normal"/>
        <w:spacing w:lineRule="exact" w:line="588"/>
        <w:ind w:firstLineChars="200" w:startChars="0" w:start="0" w:endChars="0" w:end="0"/>
        <w:rPr>
          <w:rFonts w:eastAsia="方正仿宋_GBK" w:hint="eastAsia"/>
          <w:sz w:val="30"/>
          <w:szCs w:val="30"/>
        </w:rPr>
      </w:pPr>
      <w:r>
        <w:rPr>
          <w:rFonts w:eastAsia="方正仿宋_GBK"/>
          <w:sz w:val="30"/>
          <w:szCs w:val="30"/>
        </w:rPr>
        <w:t>山西省未完成非水电可再生能源电力消纳责任权重，相差</w:t>
      </w:r>
      <w:r>
        <w:rPr>
          <w:rFonts w:eastAsia="方正仿宋_GBK"/>
          <w:sz w:val="30"/>
          <w:szCs w:val="30"/>
        </w:rPr>
        <w:t>0.6</w:t>
      </w:r>
      <w:r>
        <w:rPr>
          <w:rFonts w:eastAsia="方正仿宋_GBK"/>
          <w:sz w:val="30"/>
          <w:szCs w:val="30"/>
        </w:rPr>
        <w:t>个百分点。西藏免于考核、新疆只监测</w:t>
      </w:r>
      <w:r>
        <w:rPr>
          <w:rFonts w:hint="eastAsia" w:eastAsia="方正仿宋_GBK"/>
          <w:sz w:val="30"/>
          <w:szCs w:val="30"/>
        </w:rPr>
        <w:t>。</w:t>
      </w:r>
    </w:p>
    <w:p>
      <w:pPr>
        <w:pStyle w:val="Normal"/>
        <w:widowControl/>
        <w:spacing w:lineRule="exact" w:line="600"/>
        <w:jc w:val="center"/>
        <w:rPr>
          <w:rFonts w:eastAsia="黑体"/>
          <w:color w:val="000000"/>
          <w:kern w:val="0"/>
          <w:sz w:val="28"/>
        </w:rPr>
      </w:pPr>
      <w:r>
        <w:rPr>
          <w:rFonts w:eastAsia="黑体"/>
          <w:color w:val="000000"/>
          <w:kern w:val="0"/>
          <w:sz w:val="28"/>
        </w:rPr>
        <w:t>表</w:t>
      </w:r>
      <w:r>
        <w:rPr>
          <w:rFonts w:eastAsia="黑体"/>
          <w:color w:val="000000"/>
          <w:kern w:val="0"/>
          <w:sz w:val="28"/>
        </w:rPr>
        <w:t>2  2024</w:t>
      </w:r>
      <w:r>
        <w:rPr>
          <w:rFonts w:eastAsia="黑体"/>
          <w:color w:val="000000"/>
          <w:kern w:val="0"/>
          <w:sz w:val="28"/>
        </w:rPr>
        <w:t>年可再生能源电力消纳非水电责任权重完成情况</w:t>
      </w:r>
    </w:p>
    <w:tbl>
      <w:tblPr>
        <w:tblW w:w="5000" w:type="pct"/>
        <w:jc w:val="center"/>
        <w:tblInd w:w="0" w:type="dxa"/>
        <w:tblLayout w:type="fixed"/>
        <w:tblCellMar>
          <w:top w:w="0" w:type="dxa"/>
          <w:start w:w="108" w:type="dxa"/>
          <w:bottom w:w="0" w:type="dxa"/>
          <w:end w:w="108" w:type="dxa"/>
        </w:tblCellMar>
      </w:tblPr>
      <w:tblGrid>
        <w:gridCol w:w="1394"/>
        <w:gridCol w:w="1730"/>
        <w:gridCol w:w="1730"/>
        <w:gridCol w:w="1728"/>
        <w:gridCol w:w="1730"/>
      </w:tblGrid>
      <w:tr>
        <w:trPr>
          <w:tblHeader w:val="true"/>
          <w:trHeight w:val="857" w:hRule="atLeast"/>
          <w:cantSplit/>
        </w:trPr>
        <w:tc>
          <w:tcPr>
            <w:tcW w:w="139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b/>
                <w:bCs/>
                <w:color w:val="000000"/>
                <w:kern w:val="0"/>
                <w:szCs w:val="21"/>
              </w:rPr>
            </w:pPr>
            <w:r>
              <w:rPr>
                <w:b/>
                <w:bCs/>
                <w:color w:val="000000"/>
                <w:kern w:val="0"/>
                <w:szCs w:val="21"/>
              </w:rPr>
              <w:t>省（区、市）</w:t>
            </w:r>
          </w:p>
        </w:tc>
        <w:tc>
          <w:tcPr>
            <w:tcW w:w="1730" w:type="dxa"/>
            <w:tcBorders>
              <w:top w:val="single" w:sz="4" w:space="0" w:color="000000"/>
              <w:bottom w:val="single" w:sz="4" w:space="0" w:color="000000"/>
              <w:end w:val="single" w:sz="4" w:space="0" w:color="000000"/>
            </w:tcBorders>
            <w:vAlign w:val="center"/>
          </w:tcPr>
          <w:p>
            <w:pPr>
              <w:pStyle w:val="Normal"/>
              <w:widowControl/>
              <w:snapToGrid w:val="false"/>
              <w:jc w:val="center"/>
              <w:rPr>
                <w:b/>
                <w:bCs/>
                <w:color w:val="000000"/>
                <w:kern w:val="0"/>
                <w:szCs w:val="21"/>
              </w:rPr>
            </w:pPr>
            <w:r>
              <w:rPr>
                <w:b/>
                <w:bCs/>
                <w:color w:val="000000"/>
                <w:kern w:val="0"/>
                <w:szCs w:val="21"/>
              </w:rPr>
              <w:t>实际完成情况</w:t>
            </w:r>
          </w:p>
        </w:tc>
        <w:tc>
          <w:tcPr>
            <w:tcW w:w="1730" w:type="dxa"/>
            <w:tcBorders>
              <w:top w:val="single" w:sz="4" w:space="0" w:color="000000"/>
              <w:bottom w:val="single" w:sz="4" w:space="0" w:color="000000"/>
              <w:end w:val="single" w:sz="4" w:space="0" w:color="000000"/>
            </w:tcBorders>
            <w:vAlign w:val="center"/>
          </w:tcPr>
          <w:p>
            <w:pPr>
              <w:pStyle w:val="Normal"/>
              <w:widowControl/>
              <w:snapToGrid w:val="false"/>
              <w:jc w:val="center"/>
              <w:rPr>
                <w:b/>
                <w:bCs/>
                <w:color w:val="000000"/>
                <w:kern w:val="0"/>
                <w:szCs w:val="21"/>
              </w:rPr>
            </w:pPr>
            <w:r>
              <w:rPr>
                <w:b/>
                <w:bCs/>
                <w:color w:val="000000"/>
                <w:kern w:val="0"/>
                <w:szCs w:val="21"/>
              </w:rPr>
              <w:t>同比增加百分点</w:t>
            </w:r>
          </w:p>
        </w:tc>
        <w:tc>
          <w:tcPr>
            <w:tcW w:w="1728" w:type="dxa"/>
            <w:tcBorders>
              <w:top w:val="single" w:sz="4" w:space="0" w:color="000000"/>
              <w:bottom w:val="single" w:sz="4" w:space="0" w:color="000000"/>
              <w:end w:val="single" w:sz="4" w:space="0" w:color="000000"/>
            </w:tcBorders>
            <w:vAlign w:val="center"/>
          </w:tcPr>
          <w:p>
            <w:pPr>
              <w:pStyle w:val="Normal"/>
              <w:widowControl/>
              <w:snapToGrid w:val="false"/>
              <w:jc w:val="center"/>
              <w:rPr>
                <w:b/>
                <w:bCs/>
                <w:color w:val="000000"/>
                <w:kern w:val="0"/>
                <w:szCs w:val="21"/>
              </w:rPr>
            </w:pPr>
            <w:r>
              <w:rPr>
                <w:b/>
                <w:color w:val="000000"/>
                <w:szCs w:val="21"/>
              </w:rPr>
              <w:t>下达的最低总量消纳责任权重</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b/>
                <w:bCs/>
                <w:color w:val="000000"/>
                <w:kern w:val="0"/>
                <w:szCs w:val="21"/>
              </w:rPr>
            </w:pPr>
            <w:r>
              <w:rPr>
                <w:b/>
                <w:bCs/>
                <w:color w:val="000000"/>
                <w:kern w:val="0"/>
                <w:szCs w:val="21"/>
              </w:rPr>
              <w:t>实际完成情况超出下达最低权重指标的百分点</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北京</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27.2%</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4.4</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23.8%</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3.4</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ascii="仿宋" w:hAnsi="仿宋" w:cs="仿宋" w:hint="eastAsia" w:eastAsia="仿宋"/>
                <w:color w:val="000000"/>
                <w:kern w:val="0"/>
                <w:szCs w:val="21"/>
                <w:lang w:bidi="ar"/>
              </w:rPr>
              <w:t>天津</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27.2%</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6.0</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22.2%</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5.0</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河北</w:t>
            </w:r>
          </w:p>
        </w:tc>
        <w:tc>
          <w:tcPr>
            <w:tcW w:w="1730" w:type="dxa"/>
            <w:tcBorders>
              <w:bottom w:val="single" w:sz="4" w:space="0" w:color="000000"/>
              <w:end w:val="single" w:sz="4" w:space="0" w:color="000000"/>
            </w:tcBorders>
            <w:vAlign w:val="center"/>
          </w:tcPr>
          <w:p>
            <w:pPr>
              <w:pStyle w:val="Normal"/>
              <w:widowControl/>
              <w:jc w:val="center"/>
              <w:textAlignment w:val="bottom"/>
              <w:rPr>
                <w:bCs/>
                <w:kern w:val="0"/>
                <w:szCs w:val="21"/>
              </w:rPr>
            </w:pPr>
            <w:r>
              <w:rPr>
                <w:color w:val="000000"/>
                <w:kern w:val="0"/>
                <w:szCs w:val="21"/>
                <w:lang w:bidi="ar"/>
              </w:rPr>
              <w:t>26.2%</w:t>
            </w:r>
          </w:p>
        </w:tc>
        <w:tc>
          <w:tcPr>
            <w:tcW w:w="1730" w:type="dxa"/>
            <w:tcBorders>
              <w:bottom w:val="single" w:sz="4" w:space="0" w:color="000000"/>
              <w:end w:val="single" w:sz="4" w:space="0" w:color="000000"/>
            </w:tcBorders>
            <w:vAlign w:val="center"/>
          </w:tcPr>
          <w:p>
            <w:pPr>
              <w:pStyle w:val="Normal"/>
              <w:widowControl/>
              <w:jc w:val="center"/>
              <w:textAlignment w:val="bottom"/>
              <w:rPr>
                <w:bCs/>
                <w:kern w:val="0"/>
                <w:szCs w:val="21"/>
              </w:rPr>
            </w:pPr>
            <w:r>
              <w:rPr>
                <w:color w:val="000000"/>
                <w:kern w:val="0"/>
                <w:sz w:val="22"/>
                <w:szCs w:val="22"/>
                <w:lang w:bidi="ar"/>
              </w:rPr>
              <w:t>3.0</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23.7%</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color w:val="000000"/>
                <w:szCs w:val="21"/>
              </w:rPr>
            </w:pPr>
            <w:r>
              <w:rPr>
                <w:color w:val="000000"/>
                <w:kern w:val="0"/>
                <w:sz w:val="22"/>
                <w:szCs w:val="22"/>
                <w:lang w:bidi="ar"/>
              </w:rPr>
              <w:t>2.5</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山西</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25.9%</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-0.6</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26.5%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-0.6</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ascii="仿宋" w:hAnsi="仿宋" w:cs="仿宋" w:hint="eastAsia" w:eastAsia="仿宋"/>
                <w:color w:val="000000"/>
                <w:kern w:val="0"/>
                <w:szCs w:val="21"/>
                <w:lang w:bidi="ar"/>
              </w:rPr>
              <w:t>内蒙古</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28.5%</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3.1</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27.0%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1.5</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辽宁</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23.4%</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2.6</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21.0%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2.4</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吉林</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31.6%</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0.2</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30.0%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1.6</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黑龙江</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31.6%</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0.7</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30.0%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1.6</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上海</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8.8%</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1.3</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8.0%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0.8</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江苏</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18.3%</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2.7</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16.1%</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2.2</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浙江</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13.2%</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1.9</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12.3%</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0.9</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安徽</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22.</w:t>
            </w:r>
            <w:r>
              <w:rPr>
                <w:rFonts w:hint="eastAsia"/>
                <w:color w:val="000000"/>
                <w:kern w:val="0"/>
                <w:szCs w:val="21"/>
                <w:lang w:bidi="ar"/>
              </w:rPr>
              <w:t>4</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3.</w:t>
            </w:r>
            <w:r>
              <w:rPr>
                <w:rFonts w:hint="eastAsia"/>
                <w:color w:val="000000"/>
                <w:kern w:val="0"/>
                <w:sz w:val="22"/>
                <w:szCs w:val="22"/>
                <w:lang w:bidi="ar"/>
              </w:rPr>
              <w:t>1</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20.3%</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2.</w:t>
            </w:r>
            <w:r>
              <w:rPr>
                <w:rFonts w:hint="eastAsia"/>
                <w:color w:val="000000"/>
                <w:kern w:val="0"/>
                <w:sz w:val="22"/>
                <w:szCs w:val="22"/>
                <w:lang w:bidi="ar"/>
              </w:rPr>
              <w:t>1</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ascii="仿宋" w:hAnsi="仿宋" w:cs="仿宋" w:hint="eastAsia" w:eastAsia="仿宋"/>
                <w:color w:val="000000"/>
                <w:kern w:val="0"/>
                <w:szCs w:val="21"/>
                <w:lang w:bidi="ar"/>
              </w:rPr>
              <w:t>福建</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12.6%</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1.4</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11.5%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1.1</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江西</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20.7%</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2.7</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18.0%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2.7</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山东</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23.4%</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3.9</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19.5%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3.9</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河南</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30.</w:t>
            </w:r>
            <w:r>
              <w:rPr>
                <w:rFonts w:hint="eastAsia"/>
                <w:color w:val="000000"/>
                <w:kern w:val="0"/>
                <w:szCs w:val="21"/>
                <w:lang w:bidi="ar"/>
              </w:rPr>
              <w:t>1</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2.</w:t>
            </w:r>
            <w:r>
              <w:rPr>
                <w:rFonts w:hint="eastAsia"/>
                <w:color w:val="000000"/>
                <w:kern w:val="0"/>
                <w:sz w:val="22"/>
                <w:szCs w:val="22"/>
                <w:lang w:bidi="ar"/>
              </w:rPr>
              <w:t>2</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28.0%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color w:val="000000"/>
                <w:szCs w:val="21"/>
              </w:rPr>
            </w:pPr>
            <w:r>
              <w:rPr>
                <w:color w:val="000000"/>
                <w:kern w:val="0"/>
                <w:sz w:val="22"/>
                <w:szCs w:val="22"/>
                <w:lang w:bidi="ar"/>
              </w:rPr>
              <w:t>2.</w:t>
            </w:r>
            <w:r>
              <w:rPr>
                <w:rFonts w:hint="eastAsia"/>
                <w:color w:val="000000"/>
                <w:kern w:val="0"/>
                <w:sz w:val="22"/>
                <w:szCs w:val="22"/>
                <w:lang w:bidi="ar"/>
              </w:rPr>
              <w:t>1</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湖北</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20.6%</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3.3</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17.5%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color w:val="000000"/>
                <w:szCs w:val="21"/>
              </w:rPr>
            </w:pPr>
            <w:r>
              <w:rPr>
                <w:color w:val="000000"/>
                <w:kern w:val="0"/>
                <w:sz w:val="22"/>
                <w:szCs w:val="22"/>
                <w:lang w:bidi="ar"/>
              </w:rPr>
              <w:t>3.1</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color w:val="000000"/>
                <w:kern w:val="0"/>
                <w:szCs w:val="21"/>
              </w:rPr>
            </w:pPr>
            <w:r>
              <w:rPr>
                <w:rFonts w:ascii="仿宋" w:hAnsi="仿宋" w:cs="仿宋" w:hint="eastAsia" w:eastAsia="仿宋"/>
                <w:color w:val="000000"/>
                <w:kern w:val="0"/>
                <w:szCs w:val="21"/>
                <w:lang w:bidi="ar"/>
              </w:rPr>
              <w:t>湖南</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23.</w:t>
            </w:r>
            <w:r>
              <w:rPr>
                <w:rFonts w:hint="eastAsia"/>
                <w:color w:val="000000"/>
                <w:kern w:val="0"/>
                <w:szCs w:val="21"/>
                <w:lang w:bidi="ar"/>
              </w:rPr>
              <w:t>5</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1.</w:t>
            </w:r>
            <w:r>
              <w:rPr>
                <w:rFonts w:hint="eastAsia"/>
                <w:color w:val="000000"/>
                <w:kern w:val="0"/>
                <w:sz w:val="22"/>
                <w:szCs w:val="22"/>
                <w:lang w:bidi="ar"/>
              </w:rPr>
              <w:t>4</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22.5%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1.</w:t>
            </w:r>
            <w:r>
              <w:rPr>
                <w:rFonts w:hint="eastAsia"/>
                <w:color w:val="000000"/>
                <w:kern w:val="0"/>
                <w:sz w:val="22"/>
                <w:szCs w:val="22"/>
                <w:lang w:bidi="ar"/>
              </w:rPr>
              <w:t>0</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广东</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11.0%</w:t>
            </w:r>
          </w:p>
        </w:tc>
        <w:tc>
          <w:tcPr>
            <w:tcW w:w="1730" w:type="dxa"/>
            <w:tcBorders>
              <w:bottom w:val="single" w:sz="4" w:space="0" w:color="000000"/>
              <w:end w:val="single" w:sz="4" w:space="0" w:color="000000"/>
            </w:tcBorders>
            <w:vAlign w:val="center"/>
          </w:tcPr>
          <w:p>
            <w:pPr>
              <w:pStyle w:val="Normal"/>
              <w:widowControl/>
              <w:jc w:val="center"/>
              <w:textAlignment w:val="bottom"/>
              <w:rPr>
                <w:color w:val="000000"/>
                <w:kern w:val="0"/>
                <w:szCs w:val="21"/>
              </w:rPr>
            </w:pPr>
            <w:r>
              <w:rPr>
                <w:color w:val="000000"/>
                <w:kern w:val="0"/>
                <w:sz w:val="22"/>
                <w:szCs w:val="22"/>
                <w:lang w:bidi="ar"/>
              </w:rPr>
              <w:t>2.3</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9.0%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color w:val="000000"/>
                <w:szCs w:val="21"/>
              </w:rPr>
            </w:pPr>
            <w:r>
              <w:rPr>
                <w:color w:val="000000"/>
                <w:kern w:val="0"/>
                <w:sz w:val="22"/>
                <w:szCs w:val="22"/>
                <w:lang w:bidi="ar"/>
              </w:rPr>
              <w:t>2.0</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广西</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21.4%</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5.3</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16.5%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4.9</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海南</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22.</w:t>
            </w:r>
            <w:r>
              <w:rPr>
                <w:rFonts w:hint="eastAsia"/>
                <w:color w:val="000000"/>
                <w:kern w:val="0"/>
                <w:szCs w:val="21"/>
                <w:lang w:bidi="ar"/>
              </w:rPr>
              <w:t>1</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rFonts w:hint="eastAsia"/>
                <w:color w:val="000000"/>
                <w:kern w:val="0"/>
                <w:sz w:val="22"/>
                <w:szCs w:val="22"/>
                <w:lang w:bidi="ar"/>
              </w:rPr>
              <w:t>4.9</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17.5%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color w:val="000000"/>
                <w:kern w:val="0"/>
                <w:sz w:val="22"/>
                <w:szCs w:val="22"/>
                <w:lang w:bidi="ar"/>
              </w:rPr>
              <w:t>4.</w:t>
            </w:r>
            <w:r>
              <w:rPr>
                <w:rFonts w:hint="eastAsia"/>
                <w:color w:val="000000"/>
                <w:kern w:val="0"/>
                <w:sz w:val="22"/>
                <w:szCs w:val="22"/>
                <w:lang w:bidi="ar"/>
              </w:rPr>
              <w:t>6</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重庆</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9.1%</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0.5</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9.0%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0.1</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四川</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10.2%</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0.8</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9.5%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0.7</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rFonts w:eastAsia="仿宋"/>
                <w:color w:val="000000"/>
                <w:kern w:val="0"/>
                <w:szCs w:val="21"/>
              </w:rPr>
            </w:pPr>
            <w:r>
              <w:rPr>
                <w:rFonts w:ascii="仿宋" w:hAnsi="仿宋" w:cs="仿宋" w:hint="eastAsia" w:eastAsia="仿宋"/>
                <w:color w:val="000000"/>
                <w:kern w:val="0"/>
                <w:szCs w:val="21"/>
                <w:lang w:bidi="ar"/>
              </w:rPr>
              <w:t>贵州</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17.9%</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1.5</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color w:val="000000"/>
                <w:kern w:val="0"/>
                <w:sz w:val="22"/>
                <w:szCs w:val="22"/>
                <w:lang w:bidi="ar"/>
              </w:rPr>
            </w:pPr>
            <w:r>
              <w:rPr>
                <w:color w:val="000000"/>
                <w:kern w:val="0"/>
                <w:szCs w:val="21"/>
                <w:lang w:bidi="ar"/>
              </w:rPr>
              <w:t>16.5%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1.4</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rFonts w:eastAsia="仿宋"/>
                <w:kern w:val="0"/>
                <w:szCs w:val="21"/>
              </w:rPr>
            </w:pPr>
            <w:r>
              <w:rPr>
                <w:rFonts w:ascii="仿宋" w:hAnsi="仿宋" w:cs="仿宋" w:hint="eastAsia" w:eastAsia="仿宋"/>
                <w:color w:val="000000"/>
                <w:kern w:val="0"/>
                <w:szCs w:val="21"/>
                <w:lang w:bidi="ar"/>
              </w:rPr>
              <w:t>云南</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kern w:val="0"/>
                <w:szCs w:val="21"/>
              </w:rPr>
            </w:pPr>
            <w:r>
              <w:rPr>
                <w:color w:val="000000"/>
                <w:kern w:val="0"/>
                <w:szCs w:val="21"/>
                <w:lang w:bidi="ar"/>
              </w:rPr>
              <w:t>27.</w:t>
            </w:r>
            <w:r>
              <w:rPr>
                <w:rFonts w:hint="eastAsia"/>
                <w:color w:val="000000"/>
                <w:kern w:val="0"/>
                <w:szCs w:val="21"/>
                <w:lang w:bidi="ar"/>
              </w:rPr>
              <w:t>3</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kern w:val="0"/>
                <w:szCs w:val="21"/>
              </w:rPr>
            </w:pPr>
            <w:r>
              <w:rPr>
                <w:color w:val="000000"/>
                <w:kern w:val="0"/>
                <w:sz w:val="22"/>
                <w:szCs w:val="22"/>
                <w:lang w:bidi="ar"/>
              </w:rPr>
              <w:t>9.</w:t>
            </w:r>
            <w:r>
              <w:rPr>
                <w:rFonts w:hint="eastAsia"/>
                <w:color w:val="000000"/>
                <w:kern w:val="0"/>
                <w:sz w:val="22"/>
                <w:szCs w:val="22"/>
                <w:lang w:bidi="ar"/>
              </w:rPr>
              <w:t>5</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Cs w:val="21"/>
                <w:lang w:bidi="ar"/>
              </w:rPr>
              <w:t>18.1%</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9.</w:t>
            </w:r>
            <w:r>
              <w:rPr>
                <w:rFonts w:hint="eastAsia"/>
                <w:color w:val="000000"/>
                <w:kern w:val="0"/>
                <w:sz w:val="22"/>
                <w:szCs w:val="22"/>
                <w:lang w:bidi="ar"/>
              </w:rPr>
              <w:t>2</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rFonts w:eastAsia="仿宋"/>
                <w:color w:val="000000"/>
                <w:kern w:val="0"/>
                <w:szCs w:val="21"/>
              </w:rPr>
            </w:pPr>
            <w:r>
              <w:rPr>
                <w:rFonts w:ascii="仿宋" w:hAnsi="仿宋" w:cs="仿宋" w:hint="eastAsia" w:eastAsia="仿宋"/>
                <w:color w:val="000000"/>
                <w:kern w:val="0"/>
                <w:szCs w:val="21"/>
                <w:lang w:bidi="ar"/>
              </w:rPr>
              <w:t>西藏</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25.</w:t>
            </w:r>
            <w:r>
              <w:rPr>
                <w:rFonts w:hint="eastAsia"/>
                <w:color w:val="000000"/>
                <w:kern w:val="0"/>
                <w:szCs w:val="21"/>
                <w:lang w:bidi="ar"/>
              </w:rPr>
              <w:t>5</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3.</w:t>
            </w:r>
            <w:r>
              <w:rPr>
                <w:rFonts w:hint="eastAsia"/>
                <w:color w:val="000000"/>
                <w:kern w:val="0"/>
                <w:sz w:val="22"/>
                <w:szCs w:val="22"/>
                <w:lang w:bidi="ar"/>
              </w:rPr>
              <w:t>3</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rFonts w:ascii="仿宋" w:hAnsi="仿宋" w:cs="仿宋" w:hint="eastAsia" w:eastAsia="仿宋"/>
                <w:color w:val="000000"/>
                <w:kern w:val="0"/>
                <w:szCs w:val="21"/>
                <w:lang w:bidi="ar"/>
              </w:rPr>
              <w:t>不考核</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rFonts w:ascii="仿宋" w:hAnsi="仿宋" w:cs="仿宋" w:hint="eastAsia" w:eastAsia="仿宋"/>
                <w:color w:val="000000"/>
                <w:kern w:val="0"/>
                <w:szCs w:val="21"/>
                <w:lang w:bidi="ar"/>
              </w:rPr>
              <w:t>不考核</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陕西</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22.4%</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2.2</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20.5%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1.9</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甘肃</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30.3%</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3.0</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27.5%</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2.8</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rFonts w:eastAsia="仿宋"/>
                <w:color w:val="000000"/>
                <w:kern w:val="0"/>
                <w:szCs w:val="21"/>
              </w:rPr>
            </w:pPr>
            <w:r>
              <w:rPr>
                <w:rFonts w:ascii="仿宋" w:hAnsi="仿宋" w:cs="仿宋" w:hint="eastAsia" w:eastAsia="仿宋"/>
                <w:color w:val="000000"/>
                <w:kern w:val="0"/>
                <w:szCs w:val="21"/>
                <w:lang w:bidi="ar"/>
              </w:rPr>
              <w:t>青海</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33.</w:t>
            </w:r>
            <w:r>
              <w:rPr>
                <w:rFonts w:hint="eastAsia"/>
                <w:color w:val="000000"/>
                <w:kern w:val="0"/>
                <w:szCs w:val="21"/>
                <w:lang w:bidi="ar"/>
              </w:rPr>
              <w:t>4</w:t>
            </w:r>
            <w:r>
              <w:rPr>
                <w:color w:val="000000"/>
                <w:kern w:val="0"/>
                <w:szCs w:val="21"/>
                <w:lang w:bidi="ar"/>
              </w:rPr>
              <w:t>%</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-1.</w:t>
            </w:r>
            <w:r>
              <w:rPr>
                <w:rFonts w:hint="eastAsia"/>
                <w:color w:val="000000"/>
                <w:kern w:val="0"/>
                <w:sz w:val="22"/>
                <w:szCs w:val="22"/>
                <w:lang w:bidi="ar"/>
              </w:rPr>
              <w:t>8</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30.0%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szCs w:val="21"/>
              </w:rPr>
            </w:pPr>
            <w:r>
              <w:rPr>
                <w:color w:val="000000"/>
                <w:kern w:val="0"/>
                <w:sz w:val="22"/>
                <w:szCs w:val="22"/>
                <w:lang w:bidi="ar"/>
              </w:rPr>
              <w:t>3.</w:t>
            </w:r>
            <w:r>
              <w:rPr>
                <w:rFonts w:hint="eastAsia"/>
                <w:color w:val="000000"/>
                <w:kern w:val="0"/>
                <w:sz w:val="22"/>
                <w:szCs w:val="22"/>
                <w:lang w:bidi="ar"/>
              </w:rPr>
              <w:t>4</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center"/>
              <w:rPr>
                <w:rFonts w:eastAsia="仿宋"/>
                <w:color w:val="000000"/>
                <w:kern w:val="0"/>
                <w:szCs w:val="21"/>
              </w:rPr>
            </w:pPr>
            <w:r>
              <w:rPr>
                <w:rFonts w:ascii="仿宋" w:hAnsi="仿宋" w:cs="仿宋" w:hint="eastAsia" w:eastAsia="仿宋"/>
                <w:color w:val="000000"/>
                <w:kern w:val="0"/>
                <w:szCs w:val="21"/>
                <w:lang w:bidi="ar"/>
              </w:rPr>
              <w:t>宁夏</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Cs w:val="21"/>
                <w:lang w:bidi="ar"/>
              </w:rPr>
              <w:t>31.1%</w:t>
            </w:r>
          </w:p>
        </w:tc>
        <w:tc>
          <w:tcPr>
            <w:tcW w:w="1730" w:type="dxa"/>
            <w:tcBorders>
              <w:bottom w:val="single" w:sz="4" w:space="0" w:color="000000"/>
              <w:end w:val="single" w:sz="4" w:space="0" w:color="000000"/>
            </w:tcBorders>
            <w:vAlign w:val="center"/>
          </w:tcPr>
          <w:p>
            <w:pPr>
              <w:pStyle w:val="Normal"/>
              <w:widowControl/>
              <w:jc w:val="center"/>
              <w:textAlignment w:val="bottom"/>
              <w:rPr>
                <w:rFonts w:eastAsia="仿宋"/>
                <w:color w:val="000000"/>
                <w:kern w:val="0"/>
                <w:szCs w:val="21"/>
              </w:rPr>
            </w:pPr>
            <w:r>
              <w:rPr>
                <w:color w:val="000000"/>
                <w:kern w:val="0"/>
                <w:sz w:val="22"/>
                <w:szCs w:val="22"/>
                <w:lang w:bidi="ar"/>
              </w:rPr>
              <w:t>-1.6</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color w:val="000000"/>
                <w:kern w:val="0"/>
                <w:szCs w:val="21"/>
                <w:lang w:bidi="ar"/>
              </w:rPr>
              <w:t>30.0%</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szCs w:val="21"/>
              </w:rPr>
            </w:pPr>
            <w:r>
              <w:rPr>
                <w:color w:val="000000"/>
                <w:kern w:val="0"/>
                <w:sz w:val="22"/>
                <w:szCs w:val="22"/>
                <w:lang w:bidi="ar"/>
              </w:rPr>
              <w:t>1.1</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jc w:val="center"/>
              <w:textAlignment w:val="top"/>
              <w:rPr>
                <w:color w:val="000000"/>
                <w:kern w:val="0"/>
                <w:szCs w:val="21"/>
              </w:rPr>
            </w:pPr>
            <w:r>
              <w:rPr>
                <w:rFonts w:ascii="仿宋" w:hAnsi="仿宋" w:cs="仿宋" w:hint="eastAsia" w:eastAsia="仿宋"/>
                <w:color w:val="000000"/>
                <w:kern w:val="0"/>
                <w:szCs w:val="21"/>
                <w:lang w:bidi="ar"/>
              </w:rPr>
              <w:t>新疆</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Cs w:val="21"/>
                <w:lang w:bidi="ar"/>
              </w:rPr>
              <w:t>19.7%</w:t>
            </w:r>
          </w:p>
        </w:tc>
        <w:tc>
          <w:tcPr>
            <w:tcW w:w="1730" w:type="dxa"/>
            <w:tcBorders>
              <w:bottom w:val="single" w:sz="4" w:space="0" w:color="000000"/>
              <w:end w:val="single" w:sz="4" w:space="0" w:color="000000"/>
            </w:tcBorders>
            <w:vAlign w:val="center"/>
          </w:tcPr>
          <w:p>
            <w:pPr>
              <w:pStyle w:val="Normal"/>
              <w:widowControl/>
              <w:jc w:val="center"/>
              <w:textAlignment w:val="bottom"/>
              <w:rPr>
                <w:bCs/>
                <w:color w:val="000000"/>
                <w:kern w:val="0"/>
                <w:szCs w:val="21"/>
              </w:rPr>
            </w:pPr>
            <w:r>
              <w:rPr>
                <w:color w:val="000000"/>
                <w:kern w:val="0"/>
                <w:sz w:val="22"/>
                <w:szCs w:val="22"/>
                <w:lang w:bidi="ar"/>
              </w:rPr>
              <w:t>6.3</w:t>
            </w:r>
          </w:p>
        </w:tc>
        <w:tc>
          <w:tcPr>
            <w:tcW w:w="1728" w:type="dxa"/>
            <w:tcBorders>
              <w:top w:val="single" w:sz="4" w:space="0" w:color="000000"/>
              <w:bottom w:val="single" w:sz="4" w:space="0" w:color="000000"/>
              <w:end w:val="single" w:sz="4" w:space="0" w:color="000000"/>
            </w:tcBorders>
            <w:vAlign w:val="center"/>
          </w:tcPr>
          <w:p>
            <w:pPr>
              <w:pStyle w:val="Normal"/>
              <w:widowControl/>
              <w:jc w:val="center"/>
              <w:textAlignment w:val="bottom"/>
              <w:rPr>
                <w:rFonts w:eastAsia="DengXian;华文中宋"/>
                <w:color w:val="000000"/>
                <w:szCs w:val="21"/>
              </w:rPr>
            </w:pPr>
            <w:r>
              <w:rPr>
                <w:rFonts w:ascii="仿宋" w:hAnsi="仿宋" w:cs="仿宋" w:hint="eastAsia" w:eastAsia="仿宋"/>
                <w:color w:val="000000"/>
                <w:kern w:val="0"/>
                <w:szCs w:val="21"/>
                <w:lang w:bidi="ar"/>
              </w:rPr>
              <w:t>只监测</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top"/>
              <w:rPr>
                <w:rFonts w:eastAsia="DengXian;华文中宋"/>
                <w:color w:val="000000"/>
                <w:szCs w:val="21"/>
              </w:rPr>
            </w:pPr>
            <w:r>
              <w:rPr>
                <w:rFonts w:ascii="仿宋" w:hAnsi="仿宋" w:cs="仿宋" w:hint="eastAsia" w:eastAsia="仿宋"/>
                <w:color w:val="000000"/>
                <w:kern w:val="0"/>
                <w:szCs w:val="21"/>
                <w:lang w:bidi="ar"/>
              </w:rPr>
              <w:t>只监测</w:t>
            </w:r>
          </w:p>
        </w:tc>
      </w:tr>
      <w:tr>
        <w:trPr>
          <w:trHeight w:val="332" w:hRule="atLeast"/>
          <w:cantSplit/>
        </w:trPr>
        <w:tc>
          <w:tcPr>
            <w:tcW w:w="1394" w:type="dxa"/>
            <w:tcBorders>
              <w:start w:val="single" w:sz="4" w:space="0" w:color="000000"/>
              <w:bottom w:val="single" w:sz="4" w:space="0" w:color="000000"/>
              <w:end w:val="single" w:sz="4" w:space="0" w:color="000000"/>
            </w:tcBorders>
            <w:vAlign w:val="center"/>
          </w:tcPr>
          <w:p>
            <w:pPr>
              <w:pStyle w:val="Normal"/>
              <w:widowControl/>
              <w:snapToGrid w:val="false"/>
              <w:jc w:val="center"/>
              <w:textAlignment w:val="top"/>
              <w:rPr>
                <w:b/>
                <w:bCs/>
                <w:color w:val="000000"/>
                <w:kern w:val="0"/>
                <w:szCs w:val="21"/>
              </w:rPr>
            </w:pPr>
            <w:r>
              <w:rPr>
                <w:b/>
                <w:bCs/>
                <w:color w:val="000000"/>
                <w:szCs w:val="21"/>
              </w:rPr>
              <w:t>全国</w:t>
            </w:r>
          </w:p>
        </w:tc>
        <w:tc>
          <w:tcPr>
            <w:tcW w:w="1730" w:type="dxa"/>
            <w:tcBorders>
              <w:bottom w:val="single" w:sz="4" w:space="0" w:color="000000"/>
              <w:end w:val="single" w:sz="4" w:space="0" w:color="000000"/>
            </w:tcBorders>
            <w:vAlign w:val="center"/>
          </w:tcPr>
          <w:p>
            <w:pPr>
              <w:pStyle w:val="Normal"/>
              <w:widowControl/>
              <w:snapToGrid w:val="false"/>
              <w:jc w:val="center"/>
              <w:textAlignment w:val="bottom"/>
              <w:rPr>
                <w:rFonts w:eastAsia="仿宋"/>
                <w:bCs/>
                <w:color w:val="000000"/>
                <w:kern w:val="0"/>
                <w:szCs w:val="21"/>
              </w:rPr>
            </w:pPr>
            <w:r>
              <w:rPr>
                <w:rFonts w:eastAsia="DengXian;华文中宋"/>
                <w:color w:val="000000"/>
                <w:sz w:val="22"/>
                <w:szCs w:val="22"/>
              </w:rPr>
              <w:t>20.8%</w:t>
            </w:r>
          </w:p>
        </w:tc>
        <w:tc>
          <w:tcPr>
            <w:tcW w:w="1730" w:type="dxa"/>
            <w:tcBorders>
              <w:bottom w:val="single" w:sz="4" w:space="0" w:color="000000"/>
              <w:end w:val="single" w:sz="4" w:space="0" w:color="000000"/>
            </w:tcBorders>
            <w:vAlign w:val="center"/>
          </w:tcPr>
          <w:p>
            <w:pPr>
              <w:pStyle w:val="Normal"/>
              <w:widowControl/>
              <w:snapToGrid w:val="false"/>
              <w:jc w:val="center"/>
              <w:textAlignment w:val="bottom"/>
              <w:rPr>
                <w:rFonts w:eastAsia="仿宋"/>
                <w:bCs/>
                <w:color w:val="000000"/>
                <w:kern w:val="0"/>
                <w:szCs w:val="21"/>
              </w:rPr>
            </w:pPr>
            <w:r>
              <w:rPr>
                <w:rFonts w:eastAsia="DengXian;华文中宋"/>
                <w:color w:val="000000"/>
                <w:sz w:val="22"/>
                <w:szCs w:val="22"/>
              </w:rPr>
              <w:t xml:space="preserve">2.7 </w:t>
            </w:r>
          </w:p>
        </w:tc>
        <w:tc>
          <w:tcPr>
            <w:tcW w:w="1728" w:type="dxa"/>
            <w:tcBorders>
              <w:top w:val="single" w:sz="4" w:space="0" w:color="000000"/>
              <w:bottom w:val="single" w:sz="4" w:space="0" w:color="000000"/>
              <w:end w:val="single" w:sz="4" w:space="0" w:color="000000"/>
            </w:tcBorders>
            <w:vAlign w:val="center"/>
          </w:tcPr>
          <w:p>
            <w:pPr>
              <w:pStyle w:val="Normal"/>
              <w:snapToGrid w:val="false"/>
              <w:jc w:val="center"/>
              <w:rPr>
                <w:rFonts w:eastAsia="DengXian;华文中宋"/>
                <w:b/>
                <w:bCs/>
                <w:color w:val="000000"/>
                <w:szCs w:val="21"/>
              </w:rPr>
            </w:pPr>
            <w:r>
              <w:rPr>
                <w:rFonts w:eastAsia="DengXian;华文中宋"/>
                <w:b/>
                <w:bCs/>
                <w:color w:val="000000"/>
                <w:kern w:val="0"/>
                <w:szCs w:val="21"/>
              </w:rPr>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DengXian;华文中宋"/>
                <w:b/>
                <w:bCs/>
                <w:color w:val="000000"/>
                <w:szCs w:val="21"/>
              </w:rPr>
            </w:pPr>
            <w:r>
              <w:rPr>
                <w:rFonts w:eastAsia="DengXian;华文中宋"/>
                <w:b/>
                <w:bCs/>
                <w:color w:val="000000"/>
                <w:szCs w:val="21"/>
              </w:rPr>
            </w:r>
          </w:p>
        </w:tc>
      </w:tr>
      <w:tr>
        <w:trPr>
          <w:trHeight w:val="980" w:hRule="atLeast"/>
          <w:cantSplit/>
        </w:trPr>
        <w:tc>
          <w:tcPr>
            <w:tcW w:w="8312"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b/>
                <w:bCs/>
                <w:color w:val="000000"/>
                <w:kern w:val="0"/>
                <w:szCs w:val="21"/>
              </w:rPr>
            </w:pPr>
            <w:r>
              <w:rPr>
                <w:b/>
                <w:bCs/>
                <w:color w:val="000000"/>
                <w:kern w:val="0"/>
                <w:szCs w:val="21"/>
              </w:rPr>
              <w:t>备注：</w:t>
            </w:r>
          </w:p>
          <w:p>
            <w:pPr>
              <w:pStyle w:val="Normal"/>
              <w:widowControl/>
              <w:jc w:val="start"/>
              <w:rPr>
                <w:kern w:val="0"/>
                <w:sz w:val="22"/>
                <w:szCs w:val="22"/>
              </w:rPr>
            </w:pPr>
            <w:r>
              <w:rPr>
                <w:kern w:val="0"/>
                <w:sz w:val="22"/>
                <w:szCs w:val="22"/>
              </w:rPr>
              <w:t>1.</w:t>
            </w:r>
            <w:r>
              <w:rPr>
                <w:kern w:val="0"/>
                <w:sz w:val="22"/>
                <w:szCs w:val="22"/>
              </w:rPr>
              <w:t>西藏不参与考核，新疆只监测。</w:t>
            </w:r>
          </w:p>
          <w:p>
            <w:pPr>
              <w:pStyle w:val="Normal"/>
              <w:widowControl/>
              <w:jc w:val="start"/>
              <w:rPr>
                <w:kern w:val="0"/>
                <w:sz w:val="22"/>
                <w:szCs w:val="22"/>
              </w:rPr>
            </w:pPr>
            <w:r>
              <w:rPr>
                <w:kern w:val="0"/>
                <w:sz w:val="22"/>
                <w:szCs w:val="22"/>
              </w:rPr>
              <w:t>2.</w:t>
            </w:r>
            <w:r>
              <w:rPr>
                <w:rFonts w:hint="eastAsia"/>
                <w:kern w:val="0"/>
                <w:sz w:val="22"/>
                <w:szCs w:val="22"/>
              </w:rPr>
              <w:t>京津冀地区接入的集中式可再生能源发电项目按全社会用电量比例分摊原则计入各区域消纳量。</w:t>
            </w:r>
          </w:p>
        </w:tc>
      </w:tr>
    </w:tbl>
    <w:p>
      <w:pPr>
        <w:sectPr>
          <w:headerReference w:type="default" r:id="rId2"/>
          <w:footerReference w:type="default" r:id="rId3"/>
          <w:type w:val="nextPage"/>
          <w:pgSz w:w="11906" w:h="16838"/>
          <w:pgMar w:left="1797" w:right="1797" w:gutter="0" w:header="851" w:top="1440" w:footer="992" w:bottom="1440"/>
          <w:pgNumType w:fmt="decimal"/>
          <w:formProt w:val="false"/>
          <w:textDirection w:val="lrTb"/>
          <w:docGrid w:type="default" w:linePitch="312" w:charSpace="0"/>
        </w:sectPr>
      </w:pPr>
    </w:p>
    <w:p>
      <w:pPr>
        <w:pStyle w:val="Normal"/>
        <w:keepNext w:val="true"/>
        <w:keepLines/>
        <w:numPr>
          <w:ilvl w:val="0"/>
          <w:numId w:val="0"/>
        </w:numPr>
        <w:snapToGrid w:val="false"/>
        <w:spacing w:lineRule="exact" w:line="600" w:before="240" w:after="0"/>
        <w:ind w:firstLineChars="200" w:startChars="0" w:start="0" w:endChars="0" w:end="0"/>
        <w:outlineLvl w:val="0"/>
        <w:rPr>
          <w:rFonts w:eastAsia="方正黑体_GBK"/>
          <w:bCs/>
          <w:kern w:val="2"/>
          <w:sz w:val="30"/>
          <w:szCs w:val="30"/>
        </w:rPr>
      </w:pPr>
      <w:r>
        <w:rPr>
          <w:rFonts w:hint="eastAsia" w:eastAsia="方正黑体_GBK"/>
          <w:bCs/>
          <w:kern w:val="2"/>
          <w:sz w:val="30"/>
          <w:szCs w:val="30"/>
        </w:rPr>
        <w:t>三</w:t>
      </w:r>
      <w:r>
        <w:rPr>
          <w:rFonts w:eastAsia="方正黑体_GBK"/>
          <w:bCs/>
          <w:kern w:val="2"/>
          <w:sz w:val="30"/>
          <w:szCs w:val="30"/>
        </w:rPr>
        <w:t>、全国可再生能源消纳利用情况</w:t>
      </w:r>
    </w:p>
    <w:p>
      <w:pPr>
        <w:pStyle w:val="Normal"/>
        <w:spacing w:lineRule="exact" w:line="600"/>
        <w:ind w:firstLineChars="200" w:startChars="0" w:start="0" w:endChars="0" w:end="0"/>
        <w:rPr>
          <w:rFonts w:eastAsia="方正仿宋_GBK"/>
          <w:sz w:val="30"/>
          <w:szCs w:val="30"/>
        </w:rPr>
      </w:pPr>
      <w:r>
        <w:rPr>
          <w:rFonts w:eastAsia="方正仿宋_GBK"/>
          <w:sz w:val="30"/>
          <w:szCs w:val="30"/>
        </w:rPr>
        <w:t>2024</w:t>
      </w:r>
      <w:r>
        <w:rPr>
          <w:rFonts w:eastAsia="方正仿宋_GBK"/>
          <w:sz w:val="30"/>
          <w:szCs w:val="30"/>
        </w:rPr>
        <w:t>年，全国风电平均利用率</w:t>
      </w:r>
      <w:r>
        <w:rPr>
          <w:rFonts w:eastAsia="方正仿宋_GBK"/>
          <w:sz w:val="30"/>
          <w:szCs w:val="30"/>
        </w:rPr>
        <w:t>95.9%</w:t>
      </w:r>
      <w:r>
        <w:rPr>
          <w:rFonts w:eastAsia="方正仿宋_GBK"/>
          <w:sz w:val="30"/>
          <w:szCs w:val="30"/>
        </w:rPr>
        <w:t>，同比下降</w:t>
      </w:r>
      <w:r>
        <w:rPr>
          <w:rFonts w:eastAsia="方正仿宋_GBK"/>
          <w:sz w:val="30"/>
          <w:szCs w:val="30"/>
        </w:rPr>
        <w:t>1.4</w:t>
      </w:r>
      <w:r>
        <w:rPr>
          <w:rFonts w:eastAsia="方正仿宋_GBK"/>
          <w:sz w:val="30"/>
          <w:szCs w:val="30"/>
        </w:rPr>
        <w:t>个百分点；</w:t>
      </w:r>
      <w:r>
        <w:rPr>
          <w:rFonts w:hint="eastAsia" w:eastAsia="方正仿宋_GBK"/>
          <w:sz w:val="30"/>
          <w:szCs w:val="30"/>
        </w:rPr>
        <w:t>西藏、</w:t>
      </w:r>
      <w:r>
        <w:rPr>
          <w:rFonts w:eastAsia="方正仿宋_GBK"/>
          <w:sz w:val="30"/>
          <w:szCs w:val="30"/>
        </w:rPr>
        <w:t>黑龙江、蒙东、辽宁、湖南和陕西风电利用率同比下降</w:t>
      </w:r>
      <w:r>
        <w:rPr>
          <w:rFonts w:hint="eastAsia" w:eastAsia="方正仿宋_GBK"/>
          <w:sz w:val="30"/>
          <w:szCs w:val="30"/>
        </w:rPr>
        <w:t>明显</w:t>
      </w:r>
      <w:r>
        <w:rPr>
          <w:rFonts w:eastAsia="方正仿宋_GBK"/>
          <w:sz w:val="30"/>
          <w:szCs w:val="30"/>
        </w:rPr>
        <w:t>，分别下降</w:t>
      </w:r>
      <w:r>
        <w:rPr>
          <w:rFonts w:eastAsia="方正仿宋_GBK" w:hint="eastAsia"/>
          <w:sz w:val="30"/>
          <w:szCs w:val="30"/>
        </w:rPr>
        <w:t>17</w:t>
      </w:r>
      <w:r>
        <w:rPr>
          <w:rFonts w:hint="eastAsia" w:eastAsia="方正仿宋_GBK"/>
          <w:sz w:val="30"/>
          <w:szCs w:val="30"/>
        </w:rPr>
        <w:t>、</w:t>
      </w:r>
      <w:r>
        <w:rPr>
          <w:rFonts w:eastAsia="方正仿宋_GBK"/>
          <w:sz w:val="30"/>
          <w:szCs w:val="30"/>
        </w:rPr>
        <w:t>3.4</w:t>
      </w:r>
      <w:r>
        <w:rPr>
          <w:rFonts w:eastAsia="方正仿宋_GBK"/>
          <w:sz w:val="30"/>
          <w:szCs w:val="30"/>
        </w:rPr>
        <w:t>、</w:t>
      </w:r>
      <w:r>
        <w:rPr>
          <w:rFonts w:eastAsia="方正仿宋_GBK"/>
          <w:sz w:val="30"/>
          <w:szCs w:val="30"/>
        </w:rPr>
        <w:t>2.7</w:t>
      </w:r>
      <w:r>
        <w:rPr>
          <w:rFonts w:eastAsia="方正仿宋_GBK"/>
          <w:sz w:val="30"/>
          <w:szCs w:val="30"/>
        </w:rPr>
        <w:t>、</w:t>
      </w:r>
      <w:r>
        <w:rPr>
          <w:rFonts w:eastAsia="方正仿宋_GBK"/>
          <w:sz w:val="30"/>
          <w:szCs w:val="30"/>
        </w:rPr>
        <w:t>2.7</w:t>
      </w:r>
      <w:r>
        <w:rPr>
          <w:rFonts w:eastAsia="方正仿宋_GBK"/>
          <w:sz w:val="30"/>
          <w:szCs w:val="30"/>
        </w:rPr>
        <w:t>、</w:t>
      </w:r>
      <w:r>
        <w:rPr>
          <w:rFonts w:eastAsia="方正仿宋_GBK"/>
          <w:sz w:val="30"/>
          <w:szCs w:val="30"/>
        </w:rPr>
        <w:t>2.5</w:t>
      </w:r>
      <w:r>
        <w:rPr>
          <w:rFonts w:eastAsia="方正仿宋_GBK"/>
          <w:sz w:val="30"/>
          <w:szCs w:val="30"/>
        </w:rPr>
        <w:t>和</w:t>
      </w:r>
      <w:r>
        <w:rPr>
          <w:rFonts w:eastAsia="方正仿宋_GBK"/>
          <w:sz w:val="30"/>
          <w:szCs w:val="30"/>
        </w:rPr>
        <w:t>2.5</w:t>
      </w:r>
      <w:r>
        <w:rPr>
          <w:rFonts w:eastAsia="方正仿宋_GBK"/>
          <w:sz w:val="30"/>
          <w:szCs w:val="30"/>
        </w:rPr>
        <w:t>个百分点。</w:t>
      </w:r>
      <w:r>
        <w:rPr>
          <w:rFonts w:hint="eastAsia" w:eastAsia="方正仿宋_GBK"/>
          <w:sz w:val="30"/>
          <w:szCs w:val="30"/>
        </w:rPr>
        <w:t>西藏、</w:t>
      </w:r>
      <w:r>
        <w:rPr>
          <w:rFonts w:eastAsia="方正仿宋_GBK"/>
          <w:sz w:val="30"/>
          <w:szCs w:val="30"/>
        </w:rPr>
        <w:t>河北、青海、新疆、吉林</w:t>
      </w:r>
      <w:r>
        <w:rPr>
          <w:rFonts w:hint="eastAsia" w:eastAsia="方正仿宋_GBK"/>
          <w:sz w:val="30"/>
          <w:szCs w:val="30"/>
        </w:rPr>
        <w:t>和蒙西</w:t>
      </w:r>
      <w:r>
        <w:rPr>
          <w:rFonts w:eastAsia="方正仿宋_GBK"/>
          <w:sz w:val="30"/>
          <w:szCs w:val="30"/>
        </w:rPr>
        <w:t>风电利用率较低，分别为</w:t>
      </w:r>
      <w:r>
        <w:rPr>
          <w:rFonts w:eastAsia="方正仿宋_GBK" w:hint="eastAsia"/>
          <w:sz w:val="30"/>
          <w:szCs w:val="30"/>
        </w:rPr>
        <w:t>83</w:t>
      </w:r>
      <w:r>
        <w:rPr>
          <w:rFonts w:eastAsia="方正仿宋_GBK"/>
          <w:sz w:val="30"/>
          <w:szCs w:val="30"/>
        </w:rPr>
        <w:t>%</w:t>
      </w:r>
      <w:r>
        <w:rPr>
          <w:rFonts w:eastAsia="方正仿宋_GBK"/>
          <w:sz w:val="30"/>
          <w:szCs w:val="30"/>
        </w:rPr>
        <w:t>、</w:t>
      </w:r>
      <w:r>
        <w:rPr>
          <w:rFonts w:eastAsia="方正仿宋_GBK"/>
          <w:sz w:val="30"/>
          <w:szCs w:val="30"/>
        </w:rPr>
        <w:t>92.6%</w:t>
      </w:r>
      <w:r>
        <w:rPr>
          <w:rFonts w:eastAsia="方正仿宋_GBK"/>
          <w:sz w:val="30"/>
          <w:szCs w:val="30"/>
        </w:rPr>
        <w:t>、</w:t>
      </w:r>
      <w:r>
        <w:rPr>
          <w:rFonts w:eastAsia="方正仿宋_GBK"/>
          <w:sz w:val="30"/>
          <w:szCs w:val="30"/>
        </w:rPr>
        <w:t>92.8%</w:t>
      </w:r>
      <w:r>
        <w:rPr>
          <w:rFonts w:eastAsia="方正仿宋_GBK"/>
          <w:sz w:val="30"/>
          <w:szCs w:val="30"/>
        </w:rPr>
        <w:t>、</w:t>
      </w:r>
      <w:r>
        <w:rPr>
          <w:rFonts w:eastAsia="方正仿宋_GBK"/>
          <w:sz w:val="30"/>
          <w:szCs w:val="30"/>
        </w:rPr>
        <w:t>93.4%</w:t>
      </w:r>
      <w:r>
        <w:rPr>
          <w:rFonts w:hint="eastAsia" w:eastAsia="方正仿宋_GBK"/>
          <w:sz w:val="30"/>
          <w:szCs w:val="30"/>
        </w:rPr>
        <w:t>、</w:t>
      </w:r>
      <w:r>
        <w:rPr>
          <w:rFonts w:eastAsia="方正仿宋_GBK"/>
          <w:sz w:val="30"/>
          <w:szCs w:val="30"/>
        </w:rPr>
        <w:t>93.6%</w:t>
      </w:r>
      <w:r>
        <w:rPr>
          <w:rFonts w:eastAsia="方正仿宋_GBK"/>
          <w:sz w:val="30"/>
          <w:szCs w:val="30"/>
        </w:rPr>
        <w:t>和</w:t>
      </w:r>
      <w:r>
        <w:rPr>
          <w:rFonts w:eastAsia="方正仿宋_GBK" w:hint="eastAsia"/>
          <w:sz w:val="30"/>
          <w:szCs w:val="30"/>
        </w:rPr>
        <w:t>93.7%</w:t>
      </w:r>
      <w:r>
        <w:rPr>
          <w:rFonts w:eastAsia="方正仿宋_GBK"/>
          <w:sz w:val="30"/>
          <w:szCs w:val="30"/>
        </w:rPr>
        <w:t>。</w:t>
      </w:r>
      <w:r>
        <w:rPr>
          <w:rFonts w:hint="eastAsia" w:eastAsia="方正仿宋_GBK"/>
          <w:sz w:val="30"/>
          <w:szCs w:val="30"/>
        </w:rPr>
        <w:t>详见表</w:t>
      </w:r>
      <w:r>
        <w:rPr>
          <w:rFonts w:eastAsia="方正仿宋_GBK" w:hint="eastAsia"/>
          <w:sz w:val="30"/>
          <w:szCs w:val="30"/>
        </w:rPr>
        <w:t>3</w:t>
      </w:r>
      <w:r>
        <w:rPr>
          <w:rFonts w:hint="eastAsia" w:eastAsia="方正仿宋_GBK"/>
          <w:sz w:val="30"/>
          <w:szCs w:val="30"/>
        </w:rPr>
        <w:t>。</w:t>
      </w:r>
    </w:p>
    <w:p>
      <w:pPr>
        <w:pStyle w:val="Normal"/>
        <w:spacing w:lineRule="exact" w:line="600"/>
        <w:ind w:firstLineChars="200" w:startChars="0" w:start="0" w:endChars="0" w:end="0"/>
        <w:rPr>
          <w:rFonts w:eastAsia="方正仿宋_GBK"/>
          <w:sz w:val="30"/>
          <w:szCs w:val="30"/>
        </w:rPr>
      </w:pPr>
      <w:r>
        <w:rPr>
          <w:rFonts w:eastAsia="方正仿宋_GBK"/>
          <w:sz w:val="30"/>
          <w:szCs w:val="30"/>
        </w:rPr>
        <w:t>2024</w:t>
      </w:r>
      <w:r>
        <w:rPr>
          <w:rFonts w:eastAsia="方正仿宋_GBK"/>
          <w:sz w:val="30"/>
          <w:szCs w:val="30"/>
        </w:rPr>
        <w:t>年，全国光伏发电利用率</w:t>
      </w:r>
      <w:r>
        <w:rPr>
          <w:rFonts w:eastAsia="方正仿宋_GBK"/>
          <w:sz w:val="30"/>
          <w:szCs w:val="30"/>
        </w:rPr>
        <w:t>96.8%</w:t>
      </w:r>
      <w:r>
        <w:rPr>
          <w:rFonts w:eastAsia="方正仿宋_GBK"/>
          <w:sz w:val="30"/>
          <w:szCs w:val="30"/>
        </w:rPr>
        <w:t>，同比降低</w:t>
      </w:r>
      <w:r>
        <w:rPr>
          <w:rFonts w:eastAsia="方正仿宋_GBK"/>
          <w:sz w:val="30"/>
          <w:szCs w:val="30"/>
        </w:rPr>
        <w:t>1.</w:t>
      </w:r>
      <w:r>
        <w:rPr>
          <w:rFonts w:eastAsia="方正仿宋_GBK" w:hint="eastAsia"/>
          <w:sz w:val="30"/>
          <w:szCs w:val="30"/>
        </w:rPr>
        <w:t>1</w:t>
      </w:r>
      <w:r>
        <w:rPr>
          <w:rFonts w:eastAsia="方正仿宋_GBK"/>
          <w:sz w:val="30"/>
          <w:szCs w:val="30"/>
        </w:rPr>
        <w:t>个百分点。</w:t>
      </w:r>
      <w:r>
        <w:rPr>
          <w:rFonts w:hint="eastAsia" w:eastAsia="方正仿宋_GBK"/>
          <w:sz w:val="30"/>
          <w:szCs w:val="30"/>
        </w:rPr>
        <w:t>西藏、</w:t>
      </w:r>
      <w:r>
        <w:rPr>
          <w:rFonts w:eastAsia="方正仿宋_GBK"/>
          <w:sz w:val="30"/>
          <w:szCs w:val="30"/>
        </w:rPr>
        <w:t>新疆、甘肃、蒙西、云南和黑龙江光伏发电利用率同比下降</w:t>
      </w:r>
      <w:r>
        <w:rPr>
          <w:rFonts w:hint="eastAsia" w:eastAsia="方正仿宋_GBK"/>
          <w:sz w:val="30"/>
          <w:szCs w:val="30"/>
        </w:rPr>
        <w:t>明显</w:t>
      </w:r>
      <w:r>
        <w:rPr>
          <w:rFonts w:eastAsia="方正仿宋_GBK"/>
          <w:sz w:val="30"/>
          <w:szCs w:val="30"/>
        </w:rPr>
        <w:t>，分别下降</w:t>
      </w:r>
      <w:r>
        <w:rPr>
          <w:rFonts w:eastAsia="方正仿宋_GBK" w:hint="eastAsia"/>
          <w:sz w:val="30"/>
          <w:szCs w:val="30"/>
        </w:rPr>
        <w:t>9.4</w:t>
      </w:r>
      <w:r>
        <w:rPr>
          <w:rFonts w:hint="eastAsia" w:eastAsia="方正仿宋_GBK"/>
          <w:sz w:val="30"/>
          <w:szCs w:val="30"/>
        </w:rPr>
        <w:t>、</w:t>
      </w:r>
      <w:r>
        <w:rPr>
          <w:rFonts w:eastAsia="方正仿宋_GBK"/>
          <w:sz w:val="30"/>
          <w:szCs w:val="30"/>
        </w:rPr>
        <w:t>4.7</w:t>
      </w:r>
      <w:r>
        <w:rPr>
          <w:rFonts w:eastAsia="方正仿宋_GBK"/>
          <w:sz w:val="30"/>
          <w:szCs w:val="30"/>
        </w:rPr>
        <w:t>、</w:t>
      </w:r>
      <w:r>
        <w:rPr>
          <w:rFonts w:eastAsia="方正仿宋_GBK"/>
          <w:sz w:val="30"/>
          <w:szCs w:val="30"/>
        </w:rPr>
        <w:t>3.7</w:t>
      </w:r>
      <w:r>
        <w:rPr>
          <w:rFonts w:eastAsia="方正仿宋_GBK"/>
          <w:sz w:val="30"/>
          <w:szCs w:val="30"/>
        </w:rPr>
        <w:t>、</w:t>
      </w:r>
      <w:r>
        <w:rPr>
          <w:rFonts w:eastAsia="方正仿宋_GBK" w:hint="eastAsia"/>
          <w:sz w:val="30"/>
          <w:szCs w:val="30"/>
        </w:rPr>
        <w:t>2.9</w:t>
      </w:r>
      <w:r>
        <w:rPr>
          <w:rFonts w:eastAsia="方正仿宋_GBK"/>
          <w:sz w:val="30"/>
          <w:szCs w:val="30"/>
        </w:rPr>
        <w:t>、</w:t>
      </w:r>
      <w:r>
        <w:rPr>
          <w:rFonts w:eastAsia="方正仿宋_GBK"/>
          <w:sz w:val="30"/>
          <w:szCs w:val="30"/>
        </w:rPr>
        <w:t>2.7</w:t>
      </w:r>
      <w:r>
        <w:rPr>
          <w:rFonts w:eastAsia="方正仿宋_GBK"/>
          <w:sz w:val="30"/>
          <w:szCs w:val="30"/>
        </w:rPr>
        <w:t>和</w:t>
      </w:r>
      <w:r>
        <w:rPr>
          <w:rFonts w:eastAsia="方正仿宋_GBK"/>
          <w:sz w:val="30"/>
          <w:szCs w:val="30"/>
        </w:rPr>
        <w:t>2.</w:t>
      </w:r>
      <w:r>
        <w:rPr>
          <w:rFonts w:eastAsia="方正仿宋_GBK" w:hint="eastAsia"/>
          <w:sz w:val="30"/>
          <w:szCs w:val="30"/>
        </w:rPr>
        <w:t>3</w:t>
      </w:r>
      <w:r>
        <w:rPr>
          <w:rFonts w:eastAsia="方正仿宋_GBK"/>
          <w:sz w:val="30"/>
          <w:szCs w:val="30"/>
        </w:rPr>
        <w:t>个百分点。</w:t>
      </w:r>
      <w:r>
        <w:rPr>
          <w:rFonts w:hint="eastAsia" w:eastAsia="方正仿宋_GBK"/>
          <w:sz w:val="30"/>
          <w:szCs w:val="30"/>
        </w:rPr>
        <w:t>西藏、</w:t>
      </w:r>
      <w:r>
        <w:rPr>
          <w:rFonts w:eastAsia="方正仿宋_GBK"/>
          <w:sz w:val="30"/>
          <w:szCs w:val="30"/>
        </w:rPr>
        <w:t>青海、甘肃、新疆、蒙西和</w:t>
      </w:r>
      <w:r>
        <w:rPr>
          <w:rFonts w:hint="eastAsia" w:eastAsia="方正仿宋_GBK"/>
          <w:sz w:val="30"/>
          <w:szCs w:val="30"/>
        </w:rPr>
        <w:t>陕</w:t>
      </w:r>
      <w:r>
        <w:rPr>
          <w:rFonts w:eastAsia="方正仿宋_GBK"/>
          <w:sz w:val="30"/>
          <w:szCs w:val="30"/>
        </w:rPr>
        <w:t>西光伏发电利用率较低，分别为</w:t>
      </w:r>
      <w:r>
        <w:rPr>
          <w:rFonts w:eastAsia="方正仿宋_GBK" w:hint="eastAsia"/>
          <w:sz w:val="30"/>
          <w:szCs w:val="30"/>
        </w:rPr>
        <w:t>68.6</w:t>
      </w:r>
      <w:r>
        <w:rPr>
          <w:rFonts w:eastAsia="方正仿宋_GBK"/>
          <w:sz w:val="30"/>
          <w:szCs w:val="30"/>
        </w:rPr>
        <w:t>%</w:t>
      </w:r>
      <w:r>
        <w:rPr>
          <w:rFonts w:eastAsia="方正仿宋_GBK"/>
          <w:sz w:val="30"/>
          <w:szCs w:val="30"/>
        </w:rPr>
        <w:t>、</w:t>
      </w:r>
      <w:r>
        <w:rPr>
          <w:rFonts w:eastAsia="方正仿宋_GBK"/>
          <w:sz w:val="30"/>
          <w:szCs w:val="30"/>
        </w:rPr>
        <w:t>90.3%</w:t>
      </w:r>
      <w:r>
        <w:rPr>
          <w:rFonts w:eastAsia="方正仿宋_GBK"/>
          <w:sz w:val="30"/>
          <w:szCs w:val="30"/>
        </w:rPr>
        <w:t>、</w:t>
      </w:r>
      <w:r>
        <w:rPr>
          <w:rFonts w:eastAsia="方正仿宋_GBK"/>
          <w:sz w:val="30"/>
          <w:szCs w:val="30"/>
        </w:rPr>
        <w:t>91.3%</w:t>
      </w:r>
      <w:r>
        <w:rPr>
          <w:rFonts w:eastAsia="方正仿宋_GBK"/>
          <w:sz w:val="30"/>
          <w:szCs w:val="30"/>
        </w:rPr>
        <w:t>、</w:t>
      </w:r>
      <w:r>
        <w:rPr>
          <w:rFonts w:eastAsia="方正仿宋_GBK"/>
          <w:sz w:val="30"/>
          <w:szCs w:val="30"/>
        </w:rPr>
        <w:t>92.2%</w:t>
      </w:r>
      <w:r>
        <w:rPr>
          <w:rFonts w:eastAsia="方正仿宋_GBK"/>
          <w:sz w:val="30"/>
          <w:szCs w:val="30"/>
        </w:rPr>
        <w:t>、</w:t>
      </w:r>
      <w:r>
        <w:rPr>
          <w:rFonts w:eastAsia="方正仿宋_GBK"/>
          <w:sz w:val="30"/>
          <w:szCs w:val="30"/>
        </w:rPr>
        <w:t>93.</w:t>
      </w:r>
      <w:r>
        <w:rPr>
          <w:rFonts w:eastAsia="方正仿宋_GBK" w:hint="eastAsia"/>
          <w:sz w:val="30"/>
          <w:szCs w:val="30"/>
        </w:rPr>
        <w:t>7</w:t>
      </w:r>
      <w:r>
        <w:rPr>
          <w:rFonts w:eastAsia="方正仿宋_GBK"/>
          <w:sz w:val="30"/>
          <w:szCs w:val="30"/>
        </w:rPr>
        <w:t>%</w:t>
      </w:r>
      <w:r>
        <w:rPr>
          <w:rFonts w:eastAsia="方正仿宋_GBK"/>
          <w:sz w:val="30"/>
          <w:szCs w:val="30"/>
        </w:rPr>
        <w:t>和</w:t>
      </w:r>
      <w:r>
        <w:rPr>
          <w:rFonts w:eastAsia="方正仿宋_GBK"/>
          <w:sz w:val="30"/>
          <w:szCs w:val="30"/>
        </w:rPr>
        <w:t>94.5%</w:t>
      </w:r>
      <w:r>
        <w:rPr>
          <w:rFonts w:eastAsia="方正仿宋_GBK"/>
          <w:sz w:val="30"/>
          <w:szCs w:val="30"/>
        </w:rPr>
        <w:t>。</w:t>
      </w:r>
      <w:r>
        <w:rPr>
          <w:rFonts w:hint="eastAsia" w:eastAsia="方正仿宋_GBK"/>
          <w:sz w:val="30"/>
          <w:szCs w:val="30"/>
        </w:rPr>
        <w:t>详见表</w:t>
      </w:r>
      <w:r>
        <w:rPr>
          <w:rFonts w:eastAsia="方正仿宋_GBK" w:hint="eastAsia"/>
          <w:sz w:val="30"/>
          <w:szCs w:val="30"/>
        </w:rPr>
        <w:t>4</w:t>
      </w:r>
      <w:r>
        <w:rPr>
          <w:rFonts w:hint="eastAsia" w:eastAsia="方正仿宋_GBK"/>
          <w:sz w:val="30"/>
          <w:szCs w:val="30"/>
        </w:rPr>
        <w:t>。</w:t>
      </w:r>
    </w:p>
    <w:p>
      <w:pPr>
        <w:pStyle w:val="Normal"/>
        <w:spacing w:lineRule="exact" w:line="600"/>
        <w:ind w:firstLineChars="200" w:startChars="0" w:start="0" w:endChars="0" w:end="0"/>
        <w:rPr>
          <w:rFonts w:eastAsia="方正仿宋_GBK"/>
          <w:sz w:val="30"/>
          <w:szCs w:val="30"/>
          <w:highlight w:val="yellow"/>
        </w:rPr>
      </w:pPr>
      <w:r>
        <w:rPr>
          <w:rFonts w:eastAsia="方正仿宋_GBK" w:hint="eastAsia"/>
          <w:sz w:val="30"/>
          <w:szCs w:val="30"/>
        </w:rPr>
        <w:t>2024</w:t>
      </w:r>
      <w:r>
        <w:rPr>
          <w:rFonts w:hint="eastAsia" w:eastAsia="方正仿宋_GBK"/>
          <w:sz w:val="30"/>
          <w:szCs w:val="30"/>
        </w:rPr>
        <w:t>年，全国主要流域水能利用率约</w:t>
      </w:r>
      <w:r>
        <w:rPr>
          <w:rFonts w:eastAsia="方正仿宋_GBK" w:hint="eastAsia"/>
          <w:sz w:val="30"/>
          <w:szCs w:val="30"/>
        </w:rPr>
        <w:t>99.0%</w:t>
      </w:r>
      <w:r>
        <w:rPr>
          <w:rFonts w:hint="eastAsia" w:eastAsia="方正仿宋_GBK"/>
          <w:sz w:val="30"/>
          <w:szCs w:val="30"/>
        </w:rPr>
        <w:t>，同比下降</w:t>
      </w:r>
      <w:r>
        <w:rPr>
          <w:rFonts w:eastAsia="方正仿宋_GBK" w:hint="eastAsia"/>
          <w:sz w:val="30"/>
          <w:szCs w:val="30"/>
        </w:rPr>
        <w:t>0.4</w:t>
      </w:r>
      <w:r>
        <w:rPr>
          <w:rFonts w:hint="eastAsia" w:eastAsia="方正仿宋_GBK"/>
          <w:sz w:val="30"/>
          <w:szCs w:val="30"/>
        </w:rPr>
        <w:t>个百分点。详见表</w:t>
      </w:r>
      <w:r>
        <w:rPr>
          <w:rFonts w:eastAsia="方正仿宋_GBK" w:hint="eastAsia"/>
          <w:sz w:val="30"/>
          <w:szCs w:val="30"/>
        </w:rPr>
        <w:t>5</w:t>
      </w:r>
      <w:r>
        <w:rPr>
          <w:rFonts w:hint="eastAsia" w:eastAsia="方正仿宋_GBK"/>
          <w:sz w:val="30"/>
          <w:szCs w:val="30"/>
        </w:rPr>
        <w:t xml:space="preserve">。 </w:t>
      </w:r>
    </w:p>
    <w:p>
      <w:pPr>
        <w:pStyle w:val="Normal"/>
        <w:widowControl/>
        <w:spacing w:lineRule="exact" w:line="600" w:before="120" w:after="120"/>
        <w:jc w:val="center"/>
        <w:rPr>
          <w:rFonts w:eastAsia="黑体"/>
          <w:color w:val="000000"/>
          <w:kern w:val="0"/>
          <w:sz w:val="28"/>
        </w:rPr>
      </w:pPr>
      <w:r>
        <w:rPr>
          <w:rFonts w:eastAsia="黑体"/>
          <w:color w:val="000000"/>
          <w:kern w:val="0"/>
          <w:sz w:val="28"/>
        </w:rPr>
        <w:t>表</w:t>
      </w:r>
      <w:r>
        <w:rPr>
          <w:rFonts w:eastAsia="黑体" w:hint="eastAsia"/>
          <w:color w:val="000000"/>
          <w:kern w:val="0"/>
          <w:sz w:val="28"/>
        </w:rPr>
        <w:t>3</w:t>
      </w:r>
      <w:r>
        <w:rPr>
          <w:rFonts w:eastAsia="黑体"/>
          <w:color w:val="000000"/>
          <w:kern w:val="0"/>
          <w:sz w:val="28"/>
        </w:rPr>
        <w:t xml:space="preserve">  2024</w:t>
      </w:r>
      <w:r>
        <w:rPr>
          <w:rFonts w:eastAsia="黑体"/>
          <w:color w:val="000000"/>
          <w:kern w:val="0"/>
          <w:sz w:val="28"/>
        </w:rPr>
        <w:t>年全国风电并网消纳情况</w:t>
      </w:r>
    </w:p>
    <w:tbl>
      <w:tblPr>
        <w:tblW w:w="4950" w:type="pct"/>
        <w:jc w:val="start"/>
        <w:tblInd w:w="0" w:type="dxa"/>
        <w:tblLayout w:type="fixed"/>
        <w:tblCellMar>
          <w:top w:w="0" w:type="dxa"/>
          <w:start w:w="108" w:type="dxa"/>
          <w:bottom w:w="0" w:type="dxa"/>
          <w:end w:w="108" w:type="dxa"/>
        </w:tblCellMar>
      </w:tblPr>
      <w:tblGrid>
        <w:gridCol w:w="1672"/>
        <w:gridCol w:w="3274"/>
        <w:gridCol w:w="3276"/>
      </w:tblGrid>
      <w:tr>
        <w:trPr>
          <w:tblHeader w:val="true"/>
          <w:trHeight w:val="300"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 w:val="22"/>
              </w:rPr>
            </w:pPr>
            <w:r>
              <w:rPr>
                <w:color w:val="000000"/>
                <w:kern w:val="0"/>
                <w:sz w:val="22"/>
              </w:rPr>
              <w:t>　</w:t>
            </w:r>
          </w:p>
        </w:tc>
        <w:tc>
          <w:tcPr>
            <w:tcW w:w="327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2023</w:t>
            </w:r>
            <w:r>
              <w:rPr>
                <w:b/>
                <w:bCs/>
                <w:color w:val="000000"/>
                <w:kern w:val="0"/>
                <w:szCs w:val="21"/>
              </w:rPr>
              <w:t>年</w:t>
            </w:r>
            <w:r>
              <w:rPr>
                <w:rFonts w:hint="eastAsia"/>
                <w:b/>
                <w:bCs/>
                <w:color w:val="000000"/>
                <w:kern w:val="0"/>
                <w:szCs w:val="21"/>
              </w:rPr>
              <w:t>风电</w:t>
            </w:r>
            <w:r>
              <w:rPr>
                <w:b/>
                <w:bCs/>
                <w:color w:val="000000"/>
                <w:kern w:val="0"/>
                <w:szCs w:val="21"/>
              </w:rPr>
              <w:t>利用率</w:t>
            </w:r>
          </w:p>
        </w:tc>
        <w:tc>
          <w:tcPr>
            <w:tcW w:w="32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2024</w:t>
            </w:r>
            <w:r>
              <w:rPr>
                <w:b/>
                <w:bCs/>
                <w:color w:val="000000"/>
                <w:kern w:val="0"/>
                <w:szCs w:val="21"/>
              </w:rPr>
              <w:t>年</w:t>
            </w:r>
            <w:r>
              <w:rPr>
                <w:rFonts w:hint="eastAsia"/>
                <w:b/>
                <w:bCs/>
                <w:color w:val="000000"/>
                <w:kern w:val="0"/>
                <w:szCs w:val="21"/>
              </w:rPr>
              <w:t>风电</w:t>
            </w:r>
            <w:r>
              <w:rPr>
                <w:b/>
                <w:bCs/>
                <w:color w:val="000000"/>
                <w:kern w:val="0"/>
                <w:szCs w:val="21"/>
              </w:rPr>
              <w:t>利用率</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全国</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b/>
                <w:bCs/>
                <w:color w:val="000000"/>
                <w:kern w:val="0"/>
                <w:szCs w:val="21"/>
              </w:rPr>
            </w:pPr>
            <w:r>
              <w:rPr>
                <w:b/>
                <w:bCs/>
                <w:color w:val="000000"/>
                <w:szCs w:val="21"/>
              </w:rPr>
              <w:t>97.3%</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b/>
                <w:bCs/>
                <w:color w:val="000000"/>
                <w:kern w:val="0"/>
                <w:szCs w:val="21"/>
              </w:rPr>
            </w:pPr>
            <w:r>
              <w:rPr>
                <w:b/>
                <w:bCs/>
                <w:color w:val="000000"/>
                <w:szCs w:val="21"/>
              </w:rPr>
              <w:t>95.9%</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北京</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99.9%</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98.4%</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天津</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河北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94.3%</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92.6%</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山西</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98.9%</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98.7%</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山东</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97.6%</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96.4%</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蒙西</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93.2%</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w:t>
            </w:r>
            <w:r>
              <w:rPr>
                <w:rFonts w:eastAsia="DengXian;华文中宋" w:hint="eastAsia"/>
                <w:color w:val="000000"/>
                <w:sz w:val="22"/>
                <w:szCs w:val="22"/>
              </w:rPr>
              <w:t>3.7</w:t>
            </w:r>
            <w:r>
              <w:rPr>
                <w:rFonts w:eastAsia="DengXian;华文中宋"/>
                <w:color w:val="000000"/>
                <w:sz w:val="22"/>
                <w:szCs w:val="22"/>
              </w:rPr>
              <w:t>%</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蒙东</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96.7%</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94.0%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辽宁</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98.0%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bookmarkStart w:id="0" w:name="OLE_LINK1"/>
            <w:r>
              <w:rPr>
                <w:rFonts w:eastAsia="DengXian;华文中宋"/>
                <w:color w:val="000000"/>
                <w:sz w:val="22"/>
                <w:szCs w:val="22"/>
              </w:rPr>
              <w:t>95.3%</w:t>
            </w:r>
            <w:bookmarkEnd w:id="0"/>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吉林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96.0%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93.6%</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黑龙江</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98.6%</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95.2%</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上海</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100.0%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江苏</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99.7%</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浙江</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100.0%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安徽</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100.0%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福建</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100.0%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江西</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99.5%</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河南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96.8%</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96.4%</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湖北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99.0%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98.3%</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湖南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99.7%</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97.2%</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重庆</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100.0%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四川</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99.6%</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陕西</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96.8%</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94.4%</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甘肃</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95.0%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94.0%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青海</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94.2%</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92.8%</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宁夏</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97.8%</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97.6%</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新疆</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95.8%</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93.4%</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西藏</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83.0%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广东</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99.6%</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99.5%</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广西</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98.2%</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海南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99.9%</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100.0%</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贵州</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99.7%</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99.6%</w:t>
            </w:r>
          </w:p>
        </w:tc>
      </w:tr>
      <w:tr>
        <w:trPr>
          <w:trHeight w:val="312" w:hRule="atLeast"/>
        </w:trPr>
        <w:tc>
          <w:tcPr>
            <w:tcW w:w="16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云南</w:t>
            </w:r>
          </w:p>
        </w:tc>
        <w:tc>
          <w:tcPr>
            <w:tcW w:w="3274"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szCs w:val="21"/>
              </w:rPr>
              <w:t>100.0%</w:t>
            </w:r>
          </w:p>
        </w:tc>
        <w:tc>
          <w:tcPr>
            <w:tcW w:w="3276"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99.1%</w:t>
            </w:r>
          </w:p>
        </w:tc>
      </w:tr>
    </w:tbl>
    <w:p>
      <w:pPr>
        <w:pStyle w:val="Normal"/>
        <w:widowControl/>
        <w:snapToGrid w:val="false"/>
        <w:jc w:val="start"/>
        <w:rPr>
          <w:rFonts w:eastAsia="方正仿宋_GBK"/>
          <w:color w:val="000000"/>
          <w:kern w:val="0"/>
          <w:sz w:val="22"/>
          <w:szCs w:val="24"/>
        </w:rPr>
      </w:pPr>
      <w:r>
        <w:rPr>
          <w:rFonts w:eastAsia="方正仿宋_GBK"/>
          <w:color w:val="000000"/>
          <w:kern w:val="0"/>
          <w:sz w:val="22"/>
          <w:szCs w:val="24"/>
        </w:rPr>
      </w:r>
    </w:p>
    <w:p>
      <w:pPr>
        <w:pStyle w:val="Normal"/>
        <w:widowControl/>
        <w:spacing w:lineRule="exact" w:line="600" w:before="120" w:after="120"/>
        <w:jc w:val="center"/>
        <w:rPr>
          <w:rFonts w:eastAsia="黑体"/>
          <w:color w:val="000000"/>
          <w:kern w:val="0"/>
          <w:sz w:val="28"/>
        </w:rPr>
      </w:pPr>
      <w:r>
        <w:rPr>
          <w:rFonts w:eastAsia="黑体"/>
          <w:color w:val="000000"/>
          <w:kern w:val="0"/>
          <w:sz w:val="28"/>
        </w:rPr>
        <w:t>表</w:t>
      </w:r>
      <w:r>
        <w:rPr>
          <w:rFonts w:eastAsia="黑体" w:hint="eastAsia"/>
          <w:color w:val="000000"/>
          <w:kern w:val="0"/>
          <w:sz w:val="28"/>
        </w:rPr>
        <w:t>4</w:t>
      </w:r>
      <w:r>
        <w:rPr>
          <w:rFonts w:eastAsia="黑体"/>
          <w:color w:val="000000"/>
          <w:kern w:val="0"/>
          <w:sz w:val="28"/>
        </w:rPr>
        <w:t xml:space="preserve">  2024</w:t>
      </w:r>
      <w:r>
        <w:rPr>
          <w:rFonts w:eastAsia="黑体"/>
          <w:color w:val="000000"/>
          <w:kern w:val="0"/>
          <w:sz w:val="28"/>
        </w:rPr>
        <w:t>年全国光伏并网消纳情况</w:t>
      </w:r>
    </w:p>
    <w:tbl>
      <w:tblPr>
        <w:tblW w:w="4950" w:type="pct"/>
        <w:jc w:val="start"/>
        <w:tblInd w:w="0" w:type="dxa"/>
        <w:tblLayout w:type="fixed"/>
        <w:tblCellMar>
          <w:top w:w="0" w:type="dxa"/>
          <w:start w:w="108" w:type="dxa"/>
          <w:bottom w:w="0" w:type="dxa"/>
          <w:end w:w="108" w:type="dxa"/>
        </w:tblCellMar>
      </w:tblPr>
      <w:tblGrid>
        <w:gridCol w:w="1676"/>
        <w:gridCol w:w="3273"/>
        <w:gridCol w:w="3273"/>
      </w:tblGrid>
      <w:tr>
        <w:trPr>
          <w:tblHeader w:val="true"/>
          <w:trHeight w:val="300"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 w:val="22"/>
              </w:rPr>
            </w:pPr>
            <w:r>
              <w:rPr>
                <w:color w:val="000000"/>
                <w:kern w:val="0"/>
                <w:sz w:val="22"/>
              </w:rPr>
              <w:t>　</w:t>
            </w:r>
          </w:p>
        </w:tc>
        <w:tc>
          <w:tcPr>
            <w:tcW w:w="3273"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2023</w:t>
            </w:r>
            <w:r>
              <w:rPr>
                <w:b/>
                <w:bCs/>
                <w:color w:val="000000"/>
                <w:kern w:val="0"/>
                <w:szCs w:val="21"/>
              </w:rPr>
              <w:t>年</w:t>
            </w:r>
            <w:r>
              <w:rPr>
                <w:rFonts w:hint="eastAsia"/>
                <w:b/>
                <w:bCs/>
                <w:color w:val="000000"/>
                <w:kern w:val="0"/>
                <w:szCs w:val="21"/>
              </w:rPr>
              <w:t>光伏发电</w:t>
            </w:r>
            <w:r>
              <w:rPr>
                <w:b/>
                <w:bCs/>
                <w:color w:val="000000"/>
                <w:kern w:val="0"/>
                <w:szCs w:val="21"/>
              </w:rPr>
              <w:t>利用率</w:t>
            </w:r>
          </w:p>
        </w:tc>
        <w:tc>
          <w:tcPr>
            <w:tcW w:w="3273"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2024</w:t>
            </w:r>
            <w:r>
              <w:rPr>
                <w:b/>
                <w:bCs/>
                <w:color w:val="000000"/>
                <w:kern w:val="0"/>
                <w:szCs w:val="21"/>
              </w:rPr>
              <w:t>年</w:t>
            </w:r>
            <w:r>
              <w:rPr>
                <w:rFonts w:hint="eastAsia"/>
                <w:b/>
                <w:bCs/>
                <w:color w:val="000000"/>
                <w:kern w:val="0"/>
                <w:szCs w:val="21"/>
              </w:rPr>
              <w:t>光伏发电</w:t>
            </w:r>
            <w:r>
              <w:rPr>
                <w:b/>
                <w:bCs/>
                <w:color w:val="000000"/>
                <w:kern w:val="0"/>
                <w:szCs w:val="21"/>
              </w:rPr>
              <w:t>利用率</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color w:val="000000"/>
                <w:kern w:val="0"/>
                <w:szCs w:val="21"/>
              </w:rPr>
            </w:pPr>
            <w:r>
              <w:rPr>
                <w:b/>
                <w:color w:val="000000"/>
                <w:kern w:val="0"/>
                <w:szCs w:val="21"/>
              </w:rPr>
              <w:t>全国</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b/>
                <w:color w:val="000000"/>
                <w:kern w:val="0"/>
                <w:szCs w:val="21"/>
              </w:rPr>
            </w:pPr>
            <w:r>
              <w:rPr>
                <w:b/>
                <w:bCs/>
                <w:color w:val="000000"/>
                <w:kern w:val="0"/>
                <w:szCs w:val="21"/>
                <w:lang w:bidi="ar"/>
              </w:rPr>
              <w:t>98.0%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b/>
                <w:bCs/>
                <w:color w:val="000000"/>
                <w:kern w:val="0"/>
                <w:szCs w:val="21"/>
              </w:rPr>
            </w:pPr>
            <w:r>
              <w:rPr>
                <w:rFonts w:eastAsia="DengXian;华文中宋"/>
                <w:b/>
                <w:bCs/>
                <w:color w:val="000000"/>
                <w:sz w:val="22"/>
                <w:szCs w:val="22"/>
              </w:rPr>
              <w:t>96.8%</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北京</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99.8%</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天津</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河北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97.5%</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96.1%</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山西</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98.9%</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98.2%</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山东</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99.3%</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98.5%</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蒙西</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96.6%</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93.</w:t>
            </w:r>
            <w:r>
              <w:rPr>
                <w:rFonts w:eastAsia="DengXian;华文中宋" w:hint="eastAsia"/>
                <w:color w:val="000000"/>
                <w:sz w:val="22"/>
                <w:szCs w:val="22"/>
              </w:rPr>
              <w:t>7</w:t>
            </w:r>
            <w:r>
              <w:rPr>
                <w:rFonts w:eastAsia="DengXian;华文中宋"/>
                <w:color w:val="000000"/>
                <w:sz w:val="22"/>
                <w:szCs w:val="22"/>
              </w:rPr>
              <w:t>%</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蒙东</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98.7%</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97.3%</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辽宁</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99.3%</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97.2%</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吉林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97.1%</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97.5%</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黑龙江</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99.1%</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96.7%</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上海</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江苏</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99.9%</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浙江</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安徽</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99.9%</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福建</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江西</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99.9%</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河南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97.7%</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98.1%</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湖北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98.3%</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97.6%</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湖南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99.4%</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重庆</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四川</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98.1%</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陕西</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96.5%</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94.5%</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甘肃</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95.0%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91.3%</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青海</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91.4%</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90.3%</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宁夏</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96.4%</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95.3%</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新疆</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96.9%</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92.2%</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西藏</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78.0%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68.6%</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广东</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99.9%</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99.9%</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广西</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100.0%</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w:t>
            </w:r>
            <w:r>
              <w:rPr>
                <w:rFonts w:eastAsia="DengXian;华文中宋" w:hint="eastAsia"/>
                <w:color w:val="000000"/>
                <w:sz w:val="22"/>
                <w:szCs w:val="22"/>
              </w:rPr>
              <w:t>6</w:t>
            </w:r>
            <w:r>
              <w:rPr>
                <w:rFonts w:eastAsia="DengXian;华文中宋"/>
                <w:color w:val="000000"/>
                <w:sz w:val="22"/>
                <w:szCs w:val="22"/>
              </w:rPr>
              <w:t>%</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海南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99.8%</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99.8%</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贵州</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99.4%</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98.0%</w:t>
            </w:r>
          </w:p>
        </w:tc>
      </w:tr>
      <w:tr>
        <w:trPr>
          <w:trHeight w:val="312" w:hRule="atLeast"/>
        </w:trPr>
        <w:tc>
          <w:tcPr>
            <w:tcW w:w="167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云南</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color w:val="000000"/>
                <w:kern w:val="0"/>
                <w:szCs w:val="21"/>
                <w:lang w:bidi="ar"/>
              </w:rPr>
              <w:t>99.4%</w:t>
            </w:r>
          </w:p>
        </w:tc>
        <w:tc>
          <w:tcPr>
            <w:tcW w:w="3273" w:type="dxa"/>
            <w:tcBorders>
              <w:top w:val="single" w:sz="8" w:space="0" w:color="000000"/>
              <w:start w:val="single" w:sz="8" w:space="0" w:color="000000"/>
              <w:bottom w:val="single" w:sz="8" w:space="0" w:color="000000"/>
              <w:end w:val="single" w:sz="8" w:space="0" w:color="000000"/>
            </w:tcBorders>
            <w:vAlign w:val="bottom"/>
          </w:tcPr>
          <w:p>
            <w:pPr>
              <w:pStyle w:val="Normal"/>
              <w:widowControl/>
              <w:jc w:val="center"/>
              <w:textAlignment w:val="bottom"/>
              <w:rPr>
                <w:color w:val="000000"/>
                <w:kern w:val="0"/>
                <w:szCs w:val="21"/>
              </w:rPr>
            </w:pPr>
            <w:r>
              <w:rPr>
                <w:rFonts w:eastAsia="DengXian;华文中宋"/>
                <w:color w:val="000000"/>
                <w:sz w:val="22"/>
                <w:szCs w:val="22"/>
              </w:rPr>
              <w:t>96.7%</w:t>
            </w:r>
          </w:p>
        </w:tc>
      </w:tr>
    </w:tbl>
    <w:p>
      <w:pPr>
        <w:pStyle w:val="Normal"/>
        <w:widowControl/>
        <w:spacing w:lineRule="exact" w:line="600" w:before="120" w:after="120"/>
        <w:jc w:val="center"/>
        <w:rPr>
          <w:rFonts w:eastAsia="黑体"/>
          <w:color w:val="000000"/>
          <w:kern w:val="0"/>
          <w:sz w:val="28"/>
        </w:rPr>
      </w:pPr>
      <w:r>
        <w:rPr>
          <w:rFonts w:eastAsia="黑体"/>
          <w:color w:val="000000"/>
          <w:kern w:val="0"/>
          <w:sz w:val="28"/>
        </w:rPr>
        <w:t>表</w:t>
      </w:r>
      <w:r>
        <w:rPr>
          <w:rFonts w:eastAsia="黑体" w:hint="eastAsia"/>
          <w:color w:val="000000"/>
          <w:kern w:val="0"/>
          <w:sz w:val="28"/>
        </w:rPr>
        <w:t>5</w:t>
      </w:r>
      <w:r>
        <w:rPr>
          <w:rFonts w:eastAsia="黑体"/>
          <w:color w:val="000000"/>
          <w:kern w:val="0"/>
          <w:sz w:val="28"/>
        </w:rPr>
        <w:t xml:space="preserve">  2024</w:t>
      </w:r>
      <w:r>
        <w:rPr>
          <w:rFonts w:eastAsia="黑体"/>
          <w:color w:val="000000"/>
          <w:kern w:val="0"/>
          <w:sz w:val="28"/>
        </w:rPr>
        <w:t>年全国主要流域水电利用情况</w:t>
      </w:r>
    </w:p>
    <w:tbl>
      <w:tblPr>
        <w:tblW w:w="5000" w:type="pct"/>
        <w:jc w:val="start"/>
        <w:tblInd w:w="0" w:type="dxa"/>
        <w:tblLayout w:type="fixed"/>
        <w:tblCellMar>
          <w:top w:w="0" w:type="dxa"/>
          <w:start w:w="108" w:type="dxa"/>
          <w:bottom w:w="0" w:type="dxa"/>
          <w:end w:w="108" w:type="dxa"/>
        </w:tblCellMar>
      </w:tblPr>
      <w:tblGrid>
        <w:gridCol w:w="1730"/>
        <w:gridCol w:w="3288"/>
        <w:gridCol w:w="3288"/>
      </w:tblGrid>
      <w:tr>
        <w:trPr>
          <w:trHeight w:val="300"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主要流域</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kern w:val="0"/>
                <w:szCs w:val="21"/>
              </w:rPr>
            </w:pPr>
            <w:r>
              <w:rPr>
                <w:b/>
                <w:bCs/>
                <w:kern w:val="0"/>
                <w:szCs w:val="21"/>
              </w:rPr>
              <w:t>2023</w:t>
            </w:r>
            <w:r>
              <w:rPr>
                <w:b/>
                <w:bCs/>
                <w:kern w:val="0"/>
                <w:szCs w:val="21"/>
              </w:rPr>
              <w:t>年有效水能利用率</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kern w:val="0"/>
                <w:szCs w:val="21"/>
              </w:rPr>
            </w:pPr>
            <w:r>
              <w:rPr>
                <w:b/>
                <w:bCs/>
                <w:kern w:val="0"/>
                <w:szCs w:val="21"/>
              </w:rPr>
              <w:t>2024</w:t>
            </w:r>
            <w:r>
              <w:rPr>
                <w:b/>
                <w:bCs/>
                <w:kern w:val="0"/>
                <w:szCs w:val="21"/>
              </w:rPr>
              <w:t>年有效水能利用率</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金沙江中下游</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100.00%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99.86%</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雅砻江</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97.50%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98.36%</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大渡河</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95.11%</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93.21%</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乌江</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100.00%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99.91%</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长江上游干流</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100.00%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100%</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黄河上游干流</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100.00%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99.48%</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南盘江</w:t>
            </w:r>
            <w:r>
              <w:rPr>
                <w:rFonts w:cs="宋体;方正书宋_GBK" w:hint="eastAsia" w:ascii="宋体;方正书宋_GBK" w:hAnsi="宋体;方正书宋_GBK"/>
              </w:rPr>
              <w:t>-</w:t>
            </w:r>
            <w:r>
              <w:rPr>
                <w:rFonts w:ascii="宋体;方正书宋_GBK" w:hAnsi="宋体;方正书宋_GBK" w:cs="宋体;方正书宋_GBK" w:hint="eastAsia"/>
              </w:rPr>
              <w:t>红水河</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100.00%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99.77%</w:t>
            </w:r>
          </w:p>
        </w:tc>
      </w:tr>
      <w:tr>
        <w:trPr>
          <w:trHeight w:val="288" w:hRule="atLeast"/>
        </w:trPr>
        <w:tc>
          <w:tcPr>
            <w:tcW w:w="1730"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rFonts w:ascii="宋体;方正书宋_GBK" w:hAnsi="宋体;方正书宋_GBK" w:cs="宋体;方正书宋_GBK" w:hint="eastAsia"/>
              </w:rPr>
              <w:t>澜沧江</w:t>
            </w:r>
          </w:p>
        </w:tc>
        <w:tc>
          <w:tcPr>
            <w:tcW w:w="3288" w:type="dxa"/>
            <w:tcBorders>
              <w:top w:val="single" w:sz="8" w:space="0" w:color="000000"/>
              <w:start w:val="single" w:sz="8" w:space="0" w:color="000000"/>
              <w:bottom w:val="single" w:sz="8" w:space="0" w:color="000000"/>
              <w:end w:val="single" w:sz="8" w:space="0" w:color="000000"/>
            </w:tcBorders>
          </w:tcPr>
          <w:p>
            <w:pPr>
              <w:pStyle w:val="Normal"/>
              <w:widowControl/>
              <w:jc w:val="center"/>
              <w:rPr>
                <w:color w:val="000000"/>
                <w:kern w:val="0"/>
                <w:szCs w:val="21"/>
              </w:rPr>
            </w:pPr>
            <w:r>
              <w:rPr>
                <w:color w:val="000000"/>
                <w:kern w:val="0"/>
                <w:szCs w:val="21"/>
                <w:lang w:bidi="ar"/>
              </w:rPr>
              <w:t>100.00%</w:t>
            </w:r>
          </w:p>
        </w:tc>
        <w:tc>
          <w:tcPr>
            <w:tcW w:w="3288"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top"/>
              <w:rPr>
                <w:color w:val="000000"/>
                <w:szCs w:val="21"/>
                <w:highlight w:val="yellow"/>
              </w:rPr>
            </w:pPr>
            <w:r>
              <w:rPr>
                <w:rFonts w:hint="eastAsia"/>
              </w:rPr>
              <w:t>99.85%</w:t>
            </w:r>
          </w:p>
        </w:tc>
      </w:tr>
    </w:tbl>
    <w:p>
      <w:pPr>
        <w:pStyle w:val="Normal"/>
        <w:keepNext w:val="true"/>
        <w:keepLines/>
        <w:numPr>
          <w:ilvl w:val="0"/>
          <w:numId w:val="0"/>
        </w:numPr>
        <w:snapToGrid w:val="false"/>
        <w:spacing w:lineRule="exact" w:line="600"/>
        <w:ind w:firstLineChars="200" w:startChars="0" w:start="0" w:endChars="0" w:end="0"/>
        <w:outlineLvl w:val="0"/>
        <w:rPr>
          <w:rFonts w:eastAsia="方正黑体_GBK"/>
          <w:bCs/>
          <w:kern w:val="2"/>
          <w:sz w:val="30"/>
          <w:szCs w:val="30"/>
        </w:rPr>
      </w:pPr>
      <w:r>
        <w:rPr>
          <w:rFonts w:hint="eastAsia" w:eastAsia="方正黑体_GBK"/>
          <w:bCs/>
          <w:kern w:val="2"/>
          <w:sz w:val="30"/>
          <w:szCs w:val="30"/>
        </w:rPr>
        <w:t>四</w:t>
      </w:r>
      <w:r>
        <w:rPr>
          <w:rFonts w:eastAsia="方正黑体_GBK"/>
          <w:bCs/>
          <w:kern w:val="2"/>
          <w:sz w:val="30"/>
          <w:szCs w:val="30"/>
        </w:rPr>
        <w:t>、直流特高压线路输送可再生能源情况</w:t>
      </w:r>
    </w:p>
    <w:p>
      <w:pPr>
        <w:pStyle w:val="Normal"/>
        <w:widowControl/>
        <w:snapToGrid w:val="true"/>
        <w:spacing w:lineRule="exact" w:line="600"/>
        <w:ind w:firstLineChars="200" w:startChars="0" w:start="0" w:endChars="0" w:end="0"/>
        <w:jc w:val="start"/>
        <w:rPr>
          <w:rFonts w:eastAsia="黑体"/>
          <w:color w:val="000000"/>
          <w:kern w:val="0"/>
          <w:sz w:val="28"/>
        </w:rPr>
      </w:pPr>
      <w:r>
        <w:rPr>
          <w:rFonts w:eastAsia="方正仿宋_GBK"/>
          <w:sz w:val="30"/>
          <w:szCs w:val="30"/>
        </w:rPr>
        <w:t>2024</w:t>
      </w:r>
      <w:r>
        <w:rPr>
          <w:rFonts w:eastAsia="方正仿宋_GBK"/>
          <w:sz w:val="30"/>
          <w:szCs w:val="30"/>
        </w:rPr>
        <w:t>年，</w:t>
      </w:r>
      <w:r>
        <w:rPr>
          <w:rFonts w:eastAsia="方正仿宋_GBK"/>
          <w:sz w:val="30"/>
          <w:szCs w:val="30"/>
        </w:rPr>
        <w:t>20</w:t>
      </w:r>
      <w:r>
        <w:rPr>
          <w:rFonts w:eastAsia="方正仿宋_GBK"/>
          <w:sz w:val="30"/>
          <w:szCs w:val="30"/>
        </w:rPr>
        <w:t>条直流特高压线路年输送电量</w:t>
      </w:r>
      <w:r>
        <w:rPr>
          <w:rFonts w:eastAsia="方正仿宋_GBK" w:hint="eastAsia"/>
          <w:sz w:val="30"/>
          <w:szCs w:val="30"/>
        </w:rPr>
        <w:t>7053</w:t>
      </w:r>
      <w:r>
        <w:rPr>
          <w:rFonts w:eastAsia="方正仿宋_GBK"/>
          <w:sz w:val="30"/>
          <w:szCs w:val="30"/>
        </w:rPr>
        <w:t>亿千瓦时，其中可再生能源电量</w:t>
      </w:r>
      <w:r>
        <w:rPr>
          <w:rFonts w:eastAsia="方正仿宋_GBK" w:hint="eastAsia"/>
          <w:sz w:val="30"/>
          <w:szCs w:val="30"/>
        </w:rPr>
        <w:t>4008</w:t>
      </w:r>
      <w:r>
        <w:rPr>
          <w:rFonts w:eastAsia="方正仿宋_GBK"/>
          <w:sz w:val="30"/>
          <w:szCs w:val="30"/>
        </w:rPr>
        <w:t>亿千瓦时，同比提高</w:t>
      </w:r>
      <w:r>
        <w:rPr>
          <w:rFonts w:eastAsia="方正仿宋_GBK" w:hint="eastAsia"/>
          <w:sz w:val="30"/>
          <w:szCs w:val="30"/>
        </w:rPr>
        <w:t>22.2</w:t>
      </w:r>
      <w:r>
        <w:rPr>
          <w:rFonts w:eastAsia="方正仿宋_GBK"/>
          <w:sz w:val="30"/>
          <w:szCs w:val="30"/>
        </w:rPr>
        <w:t>%</w:t>
      </w:r>
      <w:r>
        <w:rPr>
          <w:rFonts w:eastAsia="方正仿宋_GBK"/>
          <w:sz w:val="30"/>
          <w:szCs w:val="30"/>
        </w:rPr>
        <w:t>，可再生能源电量占全部直流特高压线路总输送电量的</w:t>
      </w:r>
      <w:r>
        <w:rPr>
          <w:rFonts w:eastAsia="方正仿宋_GBK" w:hint="eastAsia"/>
          <w:sz w:val="30"/>
          <w:szCs w:val="30"/>
        </w:rPr>
        <w:t>56.8</w:t>
      </w:r>
      <w:r>
        <w:rPr>
          <w:rFonts w:eastAsia="方正仿宋_GBK"/>
          <w:sz w:val="30"/>
          <w:szCs w:val="30"/>
        </w:rPr>
        <w:t>%</w:t>
      </w:r>
      <w:r>
        <w:rPr>
          <w:rFonts w:hint="eastAsia" w:eastAsia="方正仿宋_GBK"/>
          <w:sz w:val="30"/>
          <w:szCs w:val="30"/>
        </w:rPr>
        <w:t>，同比提升</w:t>
      </w:r>
      <w:r>
        <w:rPr>
          <w:rFonts w:eastAsia="方正仿宋_GBK" w:hint="eastAsia"/>
          <w:sz w:val="30"/>
          <w:szCs w:val="30"/>
        </w:rPr>
        <w:t>4.3</w:t>
      </w:r>
      <w:r>
        <w:rPr>
          <w:rFonts w:hint="eastAsia" w:eastAsia="方正仿宋_GBK"/>
          <w:sz w:val="30"/>
          <w:szCs w:val="30"/>
        </w:rPr>
        <w:t>个百分点</w:t>
      </w:r>
      <w:r>
        <w:rPr>
          <w:rFonts w:eastAsia="方正仿宋_GBK"/>
          <w:sz w:val="30"/>
          <w:szCs w:val="30"/>
        </w:rPr>
        <w:t>。国家电网运营的</w:t>
      </w:r>
      <w:r>
        <w:rPr>
          <w:rFonts w:eastAsia="方正仿宋_GBK"/>
          <w:sz w:val="30"/>
          <w:szCs w:val="30"/>
        </w:rPr>
        <w:t>16</w:t>
      </w:r>
      <w:r>
        <w:rPr>
          <w:rFonts w:eastAsia="方正仿宋_GBK"/>
          <w:sz w:val="30"/>
          <w:szCs w:val="30"/>
        </w:rPr>
        <w:t>条直流特高压线路总输送电量</w:t>
      </w:r>
      <w:r>
        <w:rPr>
          <w:rFonts w:eastAsia="方正仿宋_GBK" w:hint="eastAsia"/>
          <w:sz w:val="30"/>
          <w:szCs w:val="30"/>
        </w:rPr>
        <w:t>6153</w:t>
      </w:r>
      <w:r>
        <w:rPr>
          <w:rFonts w:eastAsia="方正仿宋_GBK"/>
          <w:sz w:val="30"/>
          <w:szCs w:val="30"/>
        </w:rPr>
        <w:t>亿千瓦时，其中可再生能源电量</w:t>
      </w:r>
      <w:r>
        <w:rPr>
          <w:rFonts w:eastAsia="方正仿宋_GBK" w:hint="eastAsia"/>
          <w:sz w:val="30"/>
          <w:szCs w:val="30"/>
        </w:rPr>
        <w:t>3108</w:t>
      </w:r>
      <w:r>
        <w:rPr>
          <w:rFonts w:eastAsia="方正仿宋_GBK"/>
          <w:sz w:val="30"/>
          <w:szCs w:val="30"/>
        </w:rPr>
        <w:t>亿千瓦时，占总输送电量的</w:t>
      </w:r>
      <w:r>
        <w:rPr>
          <w:rFonts w:eastAsia="方正仿宋_GBK" w:hint="eastAsia"/>
          <w:sz w:val="30"/>
          <w:szCs w:val="30"/>
        </w:rPr>
        <w:t>50.5</w:t>
      </w:r>
      <w:r>
        <w:rPr>
          <w:rFonts w:eastAsia="方正仿宋_GBK"/>
          <w:sz w:val="30"/>
          <w:szCs w:val="30"/>
        </w:rPr>
        <w:t>%</w:t>
      </w:r>
      <w:r>
        <w:rPr>
          <w:rFonts w:eastAsia="方正仿宋_GBK"/>
          <w:sz w:val="30"/>
          <w:szCs w:val="30"/>
        </w:rPr>
        <w:t>；南方电网运营的</w:t>
      </w:r>
      <w:r>
        <w:rPr>
          <w:rFonts w:eastAsia="方正仿宋_GBK"/>
          <w:sz w:val="30"/>
          <w:szCs w:val="30"/>
        </w:rPr>
        <w:t>4</w:t>
      </w:r>
      <w:r>
        <w:rPr>
          <w:rFonts w:eastAsia="方正仿宋_GBK"/>
          <w:sz w:val="30"/>
          <w:szCs w:val="30"/>
        </w:rPr>
        <w:t>条直流特高压线路输送电量</w:t>
      </w:r>
      <w:r>
        <w:rPr>
          <w:rFonts w:eastAsia="方正仿宋_GBK" w:hint="eastAsia"/>
          <w:sz w:val="30"/>
          <w:szCs w:val="30"/>
        </w:rPr>
        <w:t>900</w:t>
      </w:r>
      <w:r>
        <w:rPr>
          <w:rFonts w:eastAsia="方正仿宋_GBK"/>
          <w:sz w:val="30"/>
          <w:szCs w:val="30"/>
        </w:rPr>
        <w:t>亿千瓦时，其中可再生能源电量</w:t>
      </w:r>
      <w:r>
        <w:rPr>
          <w:rFonts w:eastAsia="方正仿宋_GBK" w:hint="eastAsia"/>
          <w:sz w:val="30"/>
          <w:szCs w:val="30"/>
        </w:rPr>
        <w:t>900</w:t>
      </w:r>
      <w:r>
        <w:rPr>
          <w:rFonts w:eastAsia="方正仿宋_GBK"/>
          <w:sz w:val="30"/>
          <w:szCs w:val="30"/>
        </w:rPr>
        <w:t>亿千瓦时，占总输送电量的</w:t>
      </w:r>
      <w:r>
        <w:rPr>
          <w:rFonts w:eastAsia="方正仿宋_GBK" w:hint="eastAsia"/>
          <w:sz w:val="30"/>
          <w:szCs w:val="30"/>
        </w:rPr>
        <w:t>100</w:t>
      </w:r>
      <w:r>
        <w:rPr>
          <w:rFonts w:eastAsia="方正仿宋_GBK"/>
          <w:sz w:val="30"/>
          <w:szCs w:val="30"/>
        </w:rPr>
        <w:t>%</w:t>
      </w:r>
      <w:r>
        <w:rPr>
          <w:rFonts w:eastAsia="方正仿宋_GBK"/>
          <w:sz w:val="30"/>
          <w:szCs w:val="30"/>
        </w:rPr>
        <w:t>。</w:t>
      </w:r>
    </w:p>
    <w:p>
      <w:pPr>
        <w:pStyle w:val="Normal"/>
        <w:widowControl/>
        <w:snapToGrid w:val="false"/>
        <w:spacing w:lineRule="exact" w:line="600"/>
        <w:jc w:val="center"/>
        <w:rPr>
          <w:rFonts w:eastAsia="黑体"/>
          <w:color w:val="000000"/>
          <w:kern w:val="0"/>
          <w:sz w:val="28"/>
        </w:rPr>
      </w:pPr>
      <w:r>
        <w:rPr>
          <w:rFonts w:eastAsia="黑体"/>
          <w:color w:val="000000"/>
          <w:kern w:val="0"/>
          <w:sz w:val="28"/>
        </w:rPr>
        <w:t>表</w:t>
      </w:r>
      <w:r>
        <w:rPr>
          <w:rFonts w:eastAsia="黑体" w:hint="eastAsia"/>
          <w:color w:val="000000"/>
          <w:kern w:val="0"/>
          <w:sz w:val="28"/>
        </w:rPr>
        <w:t>6</w:t>
      </w:r>
      <w:r>
        <w:rPr>
          <w:rFonts w:eastAsia="黑体"/>
          <w:color w:val="000000"/>
          <w:kern w:val="0"/>
          <w:sz w:val="28"/>
        </w:rPr>
        <w:t xml:space="preserve">  2024</w:t>
      </w:r>
      <w:r>
        <w:rPr>
          <w:rFonts w:eastAsia="黑体"/>
          <w:color w:val="000000"/>
          <w:kern w:val="0"/>
          <w:sz w:val="28"/>
        </w:rPr>
        <w:t>年直流特高压线路输送电量情况</w:t>
      </w:r>
    </w:p>
    <w:tbl>
      <w:tblPr>
        <w:tblW w:w="5000" w:type="pct"/>
        <w:jc w:val="center"/>
        <w:tblInd w:w="0" w:type="dxa"/>
        <w:tblLayout w:type="fixed"/>
        <w:tblCellMar>
          <w:top w:w="0" w:type="dxa"/>
          <w:start w:w="108" w:type="dxa"/>
          <w:bottom w:w="0" w:type="dxa"/>
          <w:end w:w="108" w:type="dxa"/>
        </w:tblCellMar>
      </w:tblPr>
      <w:tblGrid>
        <w:gridCol w:w="795"/>
        <w:gridCol w:w="1384"/>
        <w:gridCol w:w="1656"/>
        <w:gridCol w:w="1795"/>
        <w:gridCol w:w="1104"/>
        <w:gridCol w:w="1572"/>
      </w:tblGrid>
      <w:tr>
        <w:trPr>
          <w:trHeight w:val="1152"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序号</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线路名称</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年输送电量</w:t>
            </w:r>
          </w:p>
          <w:p>
            <w:pPr>
              <w:pStyle w:val="Normal"/>
              <w:widowControl/>
              <w:jc w:val="center"/>
              <w:rPr>
                <w:b/>
                <w:bCs/>
                <w:color w:val="000000"/>
                <w:kern w:val="0"/>
                <w:szCs w:val="21"/>
              </w:rPr>
            </w:pPr>
            <w:r>
              <w:rPr>
                <w:b/>
                <w:bCs/>
                <w:color w:val="000000"/>
                <w:kern w:val="0"/>
                <w:szCs w:val="21"/>
              </w:rPr>
              <w:t>（亿千瓦时）</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可再生电量合计</w:t>
            </w:r>
          </w:p>
          <w:p>
            <w:pPr>
              <w:pStyle w:val="Normal"/>
              <w:widowControl/>
              <w:jc w:val="center"/>
              <w:rPr>
                <w:b/>
                <w:bCs/>
                <w:color w:val="000000"/>
                <w:kern w:val="0"/>
                <w:szCs w:val="21"/>
              </w:rPr>
            </w:pPr>
            <w:r>
              <w:rPr>
                <w:b/>
                <w:bCs/>
                <w:color w:val="000000"/>
                <w:kern w:val="0"/>
                <w:szCs w:val="21"/>
              </w:rPr>
              <w:t>（亿千瓦时）</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可再生能源占比</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占比同比增长</w:t>
            </w:r>
          </w:p>
          <w:p>
            <w:pPr>
              <w:pStyle w:val="Normal"/>
              <w:widowControl/>
              <w:jc w:val="center"/>
              <w:rPr>
                <w:b/>
                <w:bCs/>
                <w:color w:val="000000"/>
                <w:kern w:val="0"/>
                <w:szCs w:val="21"/>
              </w:rPr>
            </w:pPr>
            <w:r>
              <w:rPr>
                <w:b/>
                <w:bCs/>
                <w:color w:val="000000"/>
                <w:kern w:val="0"/>
                <w:szCs w:val="21"/>
              </w:rPr>
              <w:t>（百分点）</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复奉直流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300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284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94.6%</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-3.9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2</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锦苏直流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344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342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99.5%</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0.0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3</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宾金直流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305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287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94.3%</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-2.0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4</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天中直流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456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178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39.1%</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-0.8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5</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灵绍直流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558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122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21.8%</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8.7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6</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祁韶直流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350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152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43.4%</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-2.1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7</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雁淮直流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547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170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31.1%</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11.3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8</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锡泰直流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446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137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30.6%</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-2.6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9</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吉泉直流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684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183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26.8%</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-2.1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10</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鲁固直流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448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263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58.7%</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22.4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11</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昭沂直流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484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84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17.4%</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5.1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12</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青豫直流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191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185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97.3%</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5.1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13</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雅湖直流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180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172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95.8%</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-3.0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14</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陕武直流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339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38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11.3%</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-2.1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15</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建苏直流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258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256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99.1%</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0.2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16</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金塘直流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264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254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96.2%</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-3.1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17</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楚穗直流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225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225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100.0%</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14.2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18</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普侨直流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174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174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100.0%</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14.2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19</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新东直流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238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238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100.0%</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14.2 </w:t>
            </w:r>
          </w:p>
        </w:tc>
      </w:tr>
      <w:tr>
        <w:trPr>
          <w:trHeight w:val="324" w:hRule="atLeast"/>
        </w:trPr>
        <w:tc>
          <w:tcPr>
            <w:tcW w:w="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color w:val="000000"/>
                <w:kern w:val="0"/>
                <w:szCs w:val="21"/>
              </w:rPr>
            </w:pPr>
            <w:r>
              <w:rPr>
                <w:color w:val="000000"/>
                <w:kern w:val="0"/>
                <w:szCs w:val="21"/>
              </w:rPr>
              <w:t>20</w:t>
            </w:r>
          </w:p>
        </w:tc>
        <w:tc>
          <w:tcPr>
            <w:tcW w:w="138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昆柳龙直流</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264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264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100.0%</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14.2 </w:t>
            </w:r>
          </w:p>
        </w:tc>
      </w:tr>
      <w:tr>
        <w:trPr>
          <w:trHeight w:val="300" w:hRule="atLeast"/>
        </w:trPr>
        <w:tc>
          <w:tcPr>
            <w:tcW w:w="2179" w:type="dxa"/>
            <w:gridSpan w:val="2"/>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b/>
                <w:bCs/>
                <w:color w:val="000000"/>
                <w:kern w:val="0"/>
                <w:szCs w:val="21"/>
              </w:rPr>
            </w:pPr>
            <w:r>
              <w:rPr>
                <w:b/>
                <w:bCs/>
                <w:color w:val="000000"/>
                <w:kern w:val="0"/>
                <w:szCs w:val="21"/>
              </w:rPr>
              <w:t>全国</w:t>
            </w:r>
          </w:p>
        </w:tc>
        <w:tc>
          <w:tcPr>
            <w:tcW w:w="1656"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b/>
                <w:bCs/>
                <w:color w:val="000000"/>
                <w:kern w:val="0"/>
                <w:szCs w:val="21"/>
              </w:rPr>
            </w:pPr>
            <w:r>
              <w:rPr>
                <w:rFonts w:eastAsia="DengXian;华文中宋"/>
                <w:b/>
                <w:bCs/>
                <w:color w:val="000000"/>
                <w:szCs w:val="21"/>
              </w:rPr>
              <w:t xml:space="preserve">7053 </w:t>
            </w:r>
          </w:p>
        </w:tc>
        <w:tc>
          <w:tcPr>
            <w:tcW w:w="1795"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b/>
                <w:bCs/>
                <w:color w:val="000000"/>
                <w:kern w:val="0"/>
                <w:szCs w:val="21"/>
              </w:rPr>
            </w:pPr>
            <w:r>
              <w:rPr>
                <w:rFonts w:eastAsia="DengXian;华文中宋"/>
                <w:b/>
                <w:bCs/>
                <w:color w:val="000000"/>
                <w:szCs w:val="21"/>
              </w:rPr>
              <w:t xml:space="preserve">4008 </w:t>
            </w:r>
          </w:p>
        </w:tc>
        <w:tc>
          <w:tcPr>
            <w:tcW w:w="1104"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56.8%</w:t>
            </w:r>
          </w:p>
        </w:tc>
        <w:tc>
          <w:tcPr>
            <w:tcW w:w="157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textAlignment w:val="center"/>
              <w:rPr>
                <w:color w:val="000000"/>
                <w:kern w:val="0"/>
                <w:szCs w:val="21"/>
              </w:rPr>
            </w:pPr>
            <w:r>
              <w:rPr>
                <w:rFonts w:eastAsia="DengXian;华文中宋"/>
                <w:color w:val="000000"/>
                <w:szCs w:val="21"/>
              </w:rPr>
              <w:t xml:space="preserve">4.3 </w:t>
            </w:r>
          </w:p>
        </w:tc>
      </w:tr>
    </w:tbl>
    <w:p>
      <w:pPr>
        <w:pStyle w:val="Normal"/>
        <w:widowControl/>
        <w:snapToGrid w:val="false"/>
        <w:jc w:val="start"/>
        <w:rPr>
          <w:rFonts w:eastAsia="方正仿宋_GBK"/>
          <w:highlight w:val="yellow"/>
        </w:rPr>
      </w:pPr>
      <w:r>
        <w:rPr>
          <w:rFonts w:eastAsia="方正仿宋_GBK"/>
          <w:color w:val="000000"/>
          <w:kern w:val="0"/>
          <w:sz w:val="22"/>
          <w:szCs w:val="24"/>
        </w:rPr>
        <w:t xml:space="preserve">注： </w:t>
      </w:r>
      <w:r>
        <w:rPr>
          <w:rFonts w:eastAsia="方正仿宋_GBK"/>
          <w:color w:val="000000"/>
          <w:kern w:val="0"/>
          <w:sz w:val="22"/>
          <w:szCs w:val="24"/>
        </w:rPr>
        <w:t>1—16</w:t>
      </w:r>
      <w:r>
        <w:rPr>
          <w:rFonts w:eastAsia="方正仿宋_GBK"/>
          <w:color w:val="000000"/>
          <w:kern w:val="0"/>
          <w:sz w:val="22"/>
          <w:szCs w:val="24"/>
        </w:rPr>
        <w:t>项数据为国家电网报送，</w:t>
      </w:r>
      <w:r>
        <w:rPr>
          <w:rFonts w:eastAsia="方正仿宋_GBK"/>
          <w:color w:val="000000"/>
          <w:kern w:val="0"/>
          <w:sz w:val="22"/>
          <w:szCs w:val="24"/>
        </w:rPr>
        <w:t>17—20</w:t>
      </w:r>
      <w:r>
        <w:rPr>
          <w:rFonts w:eastAsia="方正仿宋_GBK"/>
          <w:color w:val="000000"/>
          <w:kern w:val="0"/>
          <w:sz w:val="22"/>
          <w:szCs w:val="24"/>
        </w:rPr>
        <w:t>项数据为南方电网公司报送。</w:t>
      </w:r>
    </w:p>
    <w:p>
      <w:pPr>
        <w:pStyle w:val="Normal"/>
        <w:keepNext w:val="true"/>
        <w:keepLines/>
        <w:numPr>
          <w:ilvl w:val="0"/>
          <w:numId w:val="0"/>
        </w:numPr>
        <w:snapToGrid w:val="false"/>
        <w:spacing w:lineRule="exact" w:line="600"/>
        <w:ind w:firstLineChars="200" w:startChars="0" w:start="0" w:endChars="0" w:end="0"/>
        <w:outlineLvl w:val="0"/>
        <w:rPr>
          <w:rFonts w:eastAsia="方正黑体_GBK"/>
          <w:bCs/>
          <w:kern w:val="2"/>
          <w:sz w:val="30"/>
          <w:szCs w:val="30"/>
        </w:rPr>
      </w:pPr>
      <w:r>
        <w:rPr>
          <w:rFonts w:hint="eastAsia" w:eastAsia="方正黑体_GBK"/>
          <w:bCs/>
          <w:kern w:val="2"/>
          <w:sz w:val="30"/>
          <w:szCs w:val="30"/>
        </w:rPr>
        <w:t>五</w:t>
      </w:r>
      <w:r>
        <w:rPr>
          <w:rFonts w:eastAsia="方正黑体_GBK"/>
          <w:bCs/>
          <w:kern w:val="2"/>
          <w:sz w:val="30"/>
          <w:szCs w:val="30"/>
        </w:rPr>
        <w:t>、国家清洁能源示范省（区）落实情况</w:t>
      </w:r>
    </w:p>
    <w:p>
      <w:pPr>
        <w:pStyle w:val="Normal"/>
        <w:spacing w:lineRule="exact" w:line="588"/>
        <w:ind w:firstLine="602" w:end="0"/>
        <w:rPr>
          <w:rFonts w:eastAsia="方正仿宋_GBK"/>
          <w:sz w:val="30"/>
          <w:szCs w:val="30"/>
        </w:rPr>
      </w:pPr>
      <w:r>
        <w:rPr>
          <w:rFonts w:eastAsia="方正仿宋_GBK"/>
          <w:b/>
          <w:sz w:val="30"/>
          <w:szCs w:val="30"/>
        </w:rPr>
        <w:t>浙江。</w:t>
      </w:r>
      <w:r>
        <w:rPr>
          <w:rFonts w:eastAsia="方正仿宋_GBK"/>
          <w:sz w:val="30"/>
          <w:szCs w:val="30"/>
        </w:rPr>
        <w:t>2024</w:t>
      </w:r>
      <w:r>
        <w:rPr>
          <w:rFonts w:eastAsia="方正仿宋_GBK"/>
          <w:sz w:val="30"/>
          <w:szCs w:val="30"/>
        </w:rPr>
        <w:t>年，全部可再生能源电力消纳量</w:t>
      </w:r>
      <w:r>
        <w:rPr>
          <w:rFonts w:eastAsia="方正仿宋_GBK"/>
          <w:sz w:val="30"/>
          <w:szCs w:val="30"/>
        </w:rPr>
        <w:t>1709</w:t>
      </w:r>
      <w:r>
        <w:rPr>
          <w:rFonts w:eastAsia="方正仿宋_GBK"/>
          <w:sz w:val="30"/>
          <w:szCs w:val="30"/>
        </w:rPr>
        <w:t>亿千瓦时，占本省全社会用电量的比重为</w:t>
      </w:r>
      <w:r>
        <w:rPr>
          <w:rFonts w:eastAsia="方正仿宋_GBK"/>
          <w:sz w:val="30"/>
          <w:szCs w:val="30"/>
        </w:rPr>
        <w:t>25.2%</w:t>
      </w:r>
      <w:r>
        <w:rPr>
          <w:rFonts w:eastAsia="方正仿宋_GBK"/>
          <w:sz w:val="30"/>
          <w:szCs w:val="30"/>
        </w:rPr>
        <w:t>，同比上升</w:t>
      </w:r>
      <w:r>
        <w:rPr>
          <w:rFonts w:eastAsia="方正仿宋_GBK"/>
          <w:sz w:val="30"/>
          <w:szCs w:val="30"/>
        </w:rPr>
        <w:t>3.1</w:t>
      </w:r>
      <w:r>
        <w:rPr>
          <w:rFonts w:eastAsia="方正仿宋_GBK"/>
          <w:sz w:val="30"/>
          <w:szCs w:val="30"/>
        </w:rPr>
        <w:t>个百分点；非水电可再生能源电力消纳量为</w:t>
      </w:r>
      <w:r>
        <w:rPr>
          <w:rFonts w:eastAsia="方正仿宋_GBK"/>
          <w:sz w:val="30"/>
          <w:szCs w:val="30"/>
        </w:rPr>
        <w:t>895</w:t>
      </w:r>
      <w:r>
        <w:rPr>
          <w:rFonts w:eastAsia="方正仿宋_GBK"/>
          <w:sz w:val="30"/>
          <w:szCs w:val="30"/>
        </w:rPr>
        <w:t>亿千瓦时，占本省全社会用电量的比重为</w:t>
      </w:r>
      <w:r>
        <w:rPr>
          <w:rFonts w:eastAsia="方正仿宋_GBK"/>
          <w:sz w:val="30"/>
          <w:szCs w:val="30"/>
        </w:rPr>
        <w:t>13.2%</w:t>
      </w:r>
      <w:r>
        <w:rPr>
          <w:rFonts w:eastAsia="方正仿宋_GBK"/>
          <w:sz w:val="30"/>
          <w:szCs w:val="30"/>
        </w:rPr>
        <w:t>，同比上升</w:t>
      </w:r>
      <w:r>
        <w:rPr>
          <w:rFonts w:eastAsia="方正仿宋_GBK"/>
          <w:sz w:val="30"/>
          <w:szCs w:val="30"/>
        </w:rPr>
        <w:t>1.9</w:t>
      </w:r>
      <w:r>
        <w:rPr>
          <w:rFonts w:eastAsia="方正仿宋_GBK"/>
          <w:sz w:val="30"/>
          <w:szCs w:val="30"/>
        </w:rPr>
        <w:t>个百分点。</w:t>
      </w:r>
    </w:p>
    <w:p>
      <w:pPr>
        <w:pStyle w:val="Normal"/>
        <w:spacing w:lineRule="exact" w:line="588"/>
        <w:ind w:firstLine="602" w:end="0"/>
        <w:rPr>
          <w:rFonts w:eastAsia="方正仿宋_GBK"/>
          <w:sz w:val="30"/>
          <w:szCs w:val="30"/>
        </w:rPr>
      </w:pPr>
      <w:r>
        <w:rPr>
          <w:rFonts w:eastAsia="方正仿宋_GBK"/>
          <w:b/>
          <w:sz w:val="30"/>
          <w:szCs w:val="30"/>
        </w:rPr>
        <w:t>四川。</w:t>
      </w:r>
      <w:r>
        <w:rPr>
          <w:rFonts w:eastAsia="方正仿宋_GBK"/>
          <w:sz w:val="30"/>
          <w:szCs w:val="30"/>
        </w:rPr>
        <w:t>2024</w:t>
      </w:r>
      <w:r>
        <w:rPr>
          <w:rFonts w:eastAsia="方正仿宋_GBK"/>
          <w:sz w:val="30"/>
          <w:szCs w:val="30"/>
        </w:rPr>
        <w:t>年，全部可再生能源电力消纳量为</w:t>
      </w:r>
      <w:r>
        <w:rPr>
          <w:rFonts w:eastAsia="方正仿宋_GBK"/>
          <w:sz w:val="30"/>
          <w:szCs w:val="30"/>
        </w:rPr>
        <w:t>2980</w:t>
      </w:r>
      <w:r>
        <w:rPr>
          <w:rFonts w:eastAsia="方正仿宋_GBK"/>
          <w:sz w:val="30"/>
          <w:szCs w:val="30"/>
        </w:rPr>
        <w:t>亿千瓦时，占本省全社会用电量的比重为</w:t>
      </w:r>
      <w:r>
        <w:rPr>
          <w:rFonts w:eastAsia="方正仿宋_GBK"/>
          <w:sz w:val="30"/>
          <w:szCs w:val="30"/>
        </w:rPr>
        <w:t>74.5%</w:t>
      </w:r>
      <w:r>
        <w:rPr>
          <w:rFonts w:eastAsia="方正仿宋_GBK"/>
          <w:sz w:val="30"/>
          <w:szCs w:val="30"/>
        </w:rPr>
        <w:t>，同比下降</w:t>
      </w:r>
      <w:r>
        <w:rPr>
          <w:rFonts w:eastAsia="方正仿宋_GBK"/>
          <w:sz w:val="30"/>
          <w:szCs w:val="30"/>
        </w:rPr>
        <w:t>1.5</w:t>
      </w:r>
      <w:r>
        <w:rPr>
          <w:rFonts w:eastAsia="方正仿宋_GBK"/>
          <w:sz w:val="30"/>
          <w:szCs w:val="30"/>
        </w:rPr>
        <w:t>个百分点；非水电可再生能源电力消纳量为</w:t>
      </w:r>
      <w:r>
        <w:rPr>
          <w:rFonts w:eastAsia="方正仿宋_GBK"/>
          <w:sz w:val="30"/>
          <w:szCs w:val="30"/>
        </w:rPr>
        <w:t>408</w:t>
      </w:r>
      <w:r>
        <w:rPr>
          <w:rFonts w:eastAsia="方正仿宋_GBK"/>
          <w:sz w:val="30"/>
          <w:szCs w:val="30"/>
        </w:rPr>
        <w:t>亿千瓦时，占本省全社会用电量的比重为</w:t>
      </w:r>
      <w:r>
        <w:rPr>
          <w:rFonts w:eastAsia="方正仿宋_GBK"/>
          <w:sz w:val="30"/>
          <w:szCs w:val="30"/>
        </w:rPr>
        <w:t>10.2%</w:t>
      </w:r>
      <w:r>
        <w:rPr>
          <w:rFonts w:eastAsia="方正仿宋_GBK"/>
          <w:sz w:val="30"/>
          <w:szCs w:val="30"/>
        </w:rPr>
        <w:t>，同比上升</w:t>
      </w:r>
      <w:r>
        <w:rPr>
          <w:rFonts w:eastAsia="方正仿宋_GBK"/>
          <w:sz w:val="30"/>
          <w:szCs w:val="30"/>
        </w:rPr>
        <w:t>0.8</w:t>
      </w:r>
      <w:r>
        <w:rPr>
          <w:rFonts w:eastAsia="方正仿宋_GBK"/>
          <w:sz w:val="30"/>
          <w:szCs w:val="30"/>
        </w:rPr>
        <w:t>个百分点。</w:t>
      </w:r>
    </w:p>
    <w:p>
      <w:pPr>
        <w:pStyle w:val="Normal"/>
        <w:spacing w:lineRule="exact" w:line="600"/>
        <w:ind w:firstLine="602" w:end="0"/>
        <w:rPr>
          <w:rFonts w:eastAsia="方正仿宋_GBK"/>
          <w:sz w:val="30"/>
          <w:szCs w:val="30"/>
        </w:rPr>
      </w:pPr>
      <w:r>
        <w:rPr>
          <w:rFonts w:eastAsia="方正仿宋_GBK"/>
          <w:b/>
          <w:sz w:val="30"/>
          <w:szCs w:val="30"/>
        </w:rPr>
        <w:t>宁夏。</w:t>
      </w:r>
      <w:r>
        <w:rPr>
          <w:rFonts w:eastAsia="方正仿宋_GBK"/>
          <w:sz w:val="30"/>
          <w:szCs w:val="30"/>
        </w:rPr>
        <w:t>2024</w:t>
      </w:r>
      <w:r>
        <w:rPr>
          <w:rFonts w:eastAsia="方正仿宋_GBK"/>
          <w:sz w:val="30"/>
          <w:szCs w:val="30"/>
        </w:rPr>
        <w:t>年，全部可再生能源电力消纳量为</w:t>
      </w:r>
      <w:r>
        <w:rPr>
          <w:rFonts w:eastAsia="方正仿宋_GBK"/>
          <w:sz w:val="30"/>
          <w:szCs w:val="30"/>
        </w:rPr>
        <w:t>480</w:t>
      </w:r>
      <w:r>
        <w:rPr>
          <w:rFonts w:eastAsia="方正仿宋_GBK"/>
          <w:sz w:val="30"/>
          <w:szCs w:val="30"/>
        </w:rPr>
        <w:t>亿千瓦时，占本省全社会用电量的比重为</w:t>
      </w:r>
      <w:r>
        <w:rPr>
          <w:rFonts w:eastAsia="方正仿宋_GBK"/>
          <w:sz w:val="30"/>
          <w:szCs w:val="30"/>
        </w:rPr>
        <w:t>34.5%</w:t>
      </w:r>
      <w:r>
        <w:rPr>
          <w:rFonts w:eastAsia="方正仿宋_GBK"/>
          <w:sz w:val="30"/>
          <w:szCs w:val="30"/>
        </w:rPr>
        <w:t>，同比上升</w:t>
      </w:r>
      <w:r>
        <w:rPr>
          <w:rFonts w:eastAsia="方正仿宋_GBK"/>
          <w:sz w:val="30"/>
          <w:szCs w:val="30"/>
        </w:rPr>
        <w:t>0.2</w:t>
      </w:r>
      <w:r>
        <w:rPr>
          <w:rFonts w:eastAsia="方正仿宋_GBK"/>
          <w:sz w:val="30"/>
          <w:szCs w:val="30"/>
        </w:rPr>
        <w:t>个百分点；非水电可再生能源电力消纳量为</w:t>
      </w:r>
      <w:r>
        <w:rPr>
          <w:rFonts w:eastAsia="方正仿宋_GBK"/>
          <w:sz w:val="30"/>
          <w:szCs w:val="30"/>
        </w:rPr>
        <w:t>432</w:t>
      </w:r>
      <w:r>
        <w:rPr>
          <w:rFonts w:eastAsia="方正仿宋_GBK"/>
          <w:sz w:val="30"/>
          <w:szCs w:val="30"/>
        </w:rPr>
        <w:t>亿千瓦时，占本省全社会用电量的比重为</w:t>
      </w:r>
      <w:r>
        <w:rPr>
          <w:rFonts w:eastAsia="方正仿宋_GBK"/>
          <w:sz w:val="30"/>
          <w:szCs w:val="30"/>
        </w:rPr>
        <w:t>31.1%</w:t>
      </w:r>
      <w:r>
        <w:rPr>
          <w:rFonts w:eastAsia="方正仿宋_GBK"/>
          <w:sz w:val="30"/>
          <w:szCs w:val="30"/>
        </w:rPr>
        <w:t>，同比下降</w:t>
      </w:r>
      <w:r>
        <w:rPr>
          <w:rFonts w:eastAsia="方正仿宋_GBK"/>
          <w:sz w:val="30"/>
          <w:szCs w:val="30"/>
        </w:rPr>
        <w:t>1.6</w:t>
      </w:r>
      <w:r>
        <w:rPr>
          <w:rFonts w:eastAsia="方正仿宋_GBK"/>
          <w:sz w:val="30"/>
          <w:szCs w:val="30"/>
        </w:rPr>
        <w:t>个百分点。</w:t>
      </w:r>
    </w:p>
    <w:p>
      <w:pPr>
        <w:pStyle w:val="Normal"/>
        <w:spacing w:lineRule="exact" w:line="588"/>
        <w:ind w:firstLine="602" w:end="0"/>
        <w:rPr>
          <w:rFonts w:eastAsia="方正仿宋_GBK"/>
          <w:sz w:val="30"/>
          <w:szCs w:val="30"/>
        </w:rPr>
      </w:pPr>
      <w:r>
        <w:rPr>
          <w:rFonts w:eastAsia="方正仿宋_GBK"/>
          <w:b/>
          <w:sz w:val="30"/>
          <w:szCs w:val="30"/>
        </w:rPr>
        <w:t>甘肃。</w:t>
      </w:r>
      <w:r>
        <w:rPr>
          <w:rFonts w:eastAsia="方正仿宋_GBK"/>
          <w:sz w:val="30"/>
          <w:szCs w:val="30"/>
        </w:rPr>
        <w:t>2024</w:t>
      </w:r>
      <w:r>
        <w:rPr>
          <w:rFonts w:eastAsia="方正仿宋_GBK"/>
          <w:sz w:val="30"/>
          <w:szCs w:val="30"/>
        </w:rPr>
        <w:t>年，全部可再生能源电力消纳量为</w:t>
      </w:r>
      <w:r>
        <w:rPr>
          <w:rFonts w:eastAsia="方正仿宋_GBK"/>
          <w:sz w:val="30"/>
          <w:szCs w:val="30"/>
        </w:rPr>
        <w:t>931</w:t>
      </w:r>
      <w:r>
        <w:rPr>
          <w:rFonts w:eastAsia="方正仿宋_GBK"/>
          <w:sz w:val="30"/>
          <w:szCs w:val="30"/>
        </w:rPr>
        <w:t>亿千瓦时，占本省全社会用电量的比重为</w:t>
      </w:r>
      <w:r>
        <w:rPr>
          <w:rFonts w:eastAsia="方正仿宋_GBK"/>
          <w:sz w:val="30"/>
          <w:szCs w:val="30"/>
        </w:rPr>
        <w:t>53.3%</w:t>
      </w:r>
      <w:r>
        <w:rPr>
          <w:rFonts w:eastAsia="方正仿宋_GBK"/>
          <w:sz w:val="30"/>
          <w:szCs w:val="30"/>
        </w:rPr>
        <w:t>，同比上升</w:t>
      </w:r>
      <w:r>
        <w:rPr>
          <w:rFonts w:eastAsia="方正仿宋_GBK"/>
          <w:sz w:val="30"/>
          <w:szCs w:val="30"/>
        </w:rPr>
        <w:t>1.7</w:t>
      </w:r>
      <w:r>
        <w:rPr>
          <w:rFonts w:eastAsia="方正仿宋_GBK"/>
          <w:sz w:val="30"/>
          <w:szCs w:val="30"/>
        </w:rPr>
        <w:t>个百分点；非水电可再生能源电力消纳量为</w:t>
      </w:r>
      <w:r>
        <w:rPr>
          <w:rFonts w:eastAsia="方正仿宋_GBK"/>
          <w:sz w:val="30"/>
          <w:szCs w:val="30"/>
        </w:rPr>
        <w:t>529</w:t>
      </w:r>
      <w:r>
        <w:rPr>
          <w:rFonts w:eastAsia="方正仿宋_GBK"/>
          <w:sz w:val="30"/>
          <w:szCs w:val="30"/>
        </w:rPr>
        <w:t>亿千瓦时，占本省全社会用电量的比重为</w:t>
      </w:r>
      <w:r>
        <w:rPr>
          <w:rFonts w:eastAsia="方正仿宋_GBK"/>
          <w:sz w:val="30"/>
          <w:szCs w:val="30"/>
        </w:rPr>
        <w:t>30.3%</w:t>
      </w:r>
      <w:r>
        <w:rPr>
          <w:rFonts w:eastAsia="方正仿宋_GBK"/>
          <w:sz w:val="30"/>
          <w:szCs w:val="30"/>
        </w:rPr>
        <w:t>，同比上升</w:t>
      </w:r>
      <w:r>
        <w:rPr>
          <w:rFonts w:eastAsia="方正仿宋_GBK"/>
          <w:sz w:val="30"/>
          <w:szCs w:val="30"/>
        </w:rPr>
        <w:t>3.0</w:t>
      </w:r>
      <w:r>
        <w:rPr>
          <w:rFonts w:eastAsia="方正仿宋_GBK"/>
          <w:sz w:val="30"/>
          <w:szCs w:val="30"/>
        </w:rPr>
        <w:t>个百分点。</w:t>
      </w:r>
    </w:p>
    <w:p>
      <w:pPr>
        <w:pStyle w:val="Normal"/>
        <w:spacing w:lineRule="exact" w:line="588"/>
        <w:ind w:firstLineChars="200" w:startChars="0" w:start="0" w:endChars="0" w:end="0"/>
        <w:rPr>
          <w:rFonts w:eastAsia="方正仿宋_GBK"/>
          <w:sz w:val="30"/>
          <w:szCs w:val="30"/>
        </w:rPr>
      </w:pPr>
      <w:r>
        <w:rPr>
          <w:rFonts w:eastAsia="方正仿宋_GBK"/>
          <w:b/>
          <w:sz w:val="30"/>
          <w:szCs w:val="30"/>
        </w:rPr>
        <w:t>青海。</w:t>
      </w:r>
      <w:r>
        <w:rPr>
          <w:rFonts w:eastAsia="方正仿宋_GBK"/>
          <w:sz w:val="30"/>
          <w:szCs w:val="30"/>
        </w:rPr>
        <w:t>2024</w:t>
      </w:r>
      <w:r>
        <w:rPr>
          <w:rFonts w:eastAsia="方正仿宋_GBK"/>
          <w:sz w:val="30"/>
          <w:szCs w:val="30"/>
        </w:rPr>
        <w:t>年，全部可再生能源电力消纳量为</w:t>
      </w:r>
      <w:r>
        <w:rPr>
          <w:rFonts w:eastAsia="方正仿宋_GBK"/>
          <w:sz w:val="30"/>
          <w:szCs w:val="30"/>
        </w:rPr>
        <w:t>813</w:t>
      </w:r>
      <w:r>
        <w:rPr>
          <w:rFonts w:eastAsia="方正仿宋_GBK"/>
          <w:sz w:val="30"/>
          <w:szCs w:val="30"/>
        </w:rPr>
        <w:t>亿千瓦时，占本省全社会用电量的比重为</w:t>
      </w:r>
      <w:r>
        <w:rPr>
          <w:rFonts w:eastAsia="方正仿宋_GBK"/>
          <w:sz w:val="30"/>
          <w:szCs w:val="30"/>
        </w:rPr>
        <w:t>77.</w:t>
      </w:r>
      <w:r>
        <w:rPr>
          <w:rFonts w:eastAsia="方正仿宋_GBK" w:hint="eastAsia"/>
          <w:sz w:val="30"/>
          <w:szCs w:val="30"/>
        </w:rPr>
        <w:t>2</w:t>
      </w:r>
      <w:r>
        <w:rPr>
          <w:rFonts w:eastAsia="方正仿宋_GBK"/>
          <w:sz w:val="30"/>
          <w:szCs w:val="30"/>
        </w:rPr>
        <w:t>%</w:t>
      </w:r>
      <w:r>
        <w:rPr>
          <w:rFonts w:eastAsia="方正仿宋_GBK"/>
          <w:sz w:val="30"/>
          <w:szCs w:val="30"/>
        </w:rPr>
        <w:t>，同比上升</w:t>
      </w:r>
      <w:r>
        <w:rPr>
          <w:rFonts w:eastAsia="方正仿宋_GBK"/>
          <w:sz w:val="30"/>
          <w:szCs w:val="30"/>
        </w:rPr>
        <w:t>5.</w:t>
      </w:r>
      <w:r>
        <w:rPr>
          <w:rFonts w:eastAsia="方正仿宋_GBK" w:hint="eastAsia"/>
          <w:sz w:val="30"/>
          <w:szCs w:val="30"/>
        </w:rPr>
        <w:t>2</w:t>
      </w:r>
      <w:r>
        <w:rPr>
          <w:rFonts w:eastAsia="方正仿宋_GBK"/>
          <w:sz w:val="30"/>
          <w:szCs w:val="30"/>
        </w:rPr>
        <w:t>个百分点；非水电可再生能源电力消纳量为</w:t>
      </w:r>
      <w:r>
        <w:rPr>
          <w:rFonts w:eastAsia="方正仿宋_GBK"/>
          <w:sz w:val="30"/>
          <w:szCs w:val="30"/>
        </w:rPr>
        <w:t>35</w:t>
      </w:r>
      <w:r>
        <w:rPr>
          <w:rFonts w:eastAsia="方正仿宋_GBK" w:hint="eastAsia"/>
          <w:sz w:val="30"/>
          <w:szCs w:val="30"/>
        </w:rPr>
        <w:t>2</w:t>
      </w:r>
      <w:r>
        <w:rPr>
          <w:rFonts w:eastAsia="方正仿宋_GBK"/>
          <w:sz w:val="30"/>
          <w:szCs w:val="30"/>
        </w:rPr>
        <w:t>亿千瓦时，占本省全社会用电量的比重约为</w:t>
      </w:r>
      <w:r>
        <w:rPr>
          <w:rFonts w:eastAsia="方正仿宋_GBK"/>
          <w:sz w:val="30"/>
          <w:szCs w:val="30"/>
        </w:rPr>
        <w:t>33.</w:t>
      </w:r>
      <w:r>
        <w:rPr>
          <w:rFonts w:eastAsia="方正仿宋_GBK" w:hint="eastAsia"/>
          <w:sz w:val="30"/>
          <w:szCs w:val="30"/>
        </w:rPr>
        <w:t>4</w:t>
      </w:r>
      <w:r>
        <w:rPr>
          <w:rFonts w:eastAsia="方正仿宋_GBK"/>
          <w:sz w:val="30"/>
          <w:szCs w:val="30"/>
        </w:rPr>
        <w:t>%</w:t>
      </w:r>
      <w:r>
        <w:rPr>
          <w:rFonts w:eastAsia="方正仿宋_GBK"/>
          <w:sz w:val="30"/>
          <w:szCs w:val="30"/>
        </w:rPr>
        <w:t>，同比下降</w:t>
      </w:r>
      <w:r>
        <w:rPr>
          <w:rFonts w:eastAsia="方正仿宋_GBK"/>
          <w:sz w:val="30"/>
          <w:szCs w:val="30"/>
        </w:rPr>
        <w:t>1.</w:t>
      </w:r>
      <w:r>
        <w:rPr>
          <w:rFonts w:eastAsia="方正仿宋_GBK" w:hint="eastAsia"/>
          <w:sz w:val="30"/>
          <w:szCs w:val="30"/>
        </w:rPr>
        <w:t>8</w:t>
      </w:r>
      <w:r>
        <w:rPr>
          <w:rFonts w:eastAsia="方正仿宋_GBK"/>
          <w:sz w:val="30"/>
          <w:szCs w:val="30"/>
        </w:rPr>
        <w:t>个百分点。</w:t>
      </w:r>
    </w:p>
    <w:p>
      <w:pPr>
        <w:pStyle w:val="Normal"/>
        <w:ind w:firstLineChars="200" w:startChars="0" w:start="0" w:endChars="0" w:end="0"/>
        <w:rPr>
          <w:rFonts w:eastAsia="仿宋_GB2312"/>
          <w:sz w:val="32"/>
          <w:szCs w:val="32"/>
        </w:rPr>
      </w:pPr>
      <w:r>
        <w:rPr>
          <w:rFonts w:eastAsia="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pPr>
      <w:r>
        <w:rPr>
          <w:rFonts w:eastAsia="仿宋_GB2312" w:cs="仿宋_GB2312" w:hint="eastAsia" w:ascii="仿宋_GB2312" w:hAnsi="仿宋_GB2312"/>
          <w:sz w:val="32"/>
          <w:szCs w:val="32"/>
        </w:rPr>
      </w:r>
    </w:p>
    <w:sectPr>
      <w:headerReference w:type="default" r:id="rId4"/>
      <w:headerReference w:type="first" r:id="rId5"/>
      <w:footerReference w:type="default" r:id="rId6"/>
      <w:footerReference w:type="first" r:id="rId7"/>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altName w:val="微软雅黑"/>
    <w:charset w:val="00" w:characterSet="windows-1252"/>
    <w:family w:val="swiss"/>
    <w:pitch w:val="default"/>
  </w:font>
  <w:font w:name="Liberation Sans">
    <w:altName w:val="Arial"/>
    <w:charset w:val="86"/>
    <w:family w:val="swiss"/>
    <w:pitch w:val="variable"/>
  </w:font>
  <w:font w:name="Times New Roman">
    <w:charset w:val="00" w:characterSet="windows-1252"/>
    <w:family w:val="roman"/>
    <w:pitch w:val="default"/>
  </w:font>
  <w:font w:name="Liberation Sans">
    <w:altName w:val="Arial"/>
    <w:charset w:val="00" w:characterSet="windows-1252"/>
    <w:family w:val="swiss"/>
    <w:pitch w:val="default"/>
  </w:font>
  <w:font w:name="黑体">
    <w:charset w:val="86"/>
    <w:family w:val="auto"/>
    <w:pitch w:val="default"/>
  </w:font>
  <w:font w:name="方正楷体_GBK">
    <w:charset w:val="86"/>
    <w:family w:val="auto"/>
    <w:pitch w:val="default"/>
  </w:font>
  <w:font w:name="仿宋">
    <w:charset w:val="86"/>
    <w:family w:val="modern"/>
    <w:pitch w:val="default"/>
  </w:font>
  <w:font w:name="宋体">
    <w:altName w:val="方正书宋_GBK"/>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sz w:val="18"/>
      </w:rPr>
    </w:pPr>
    <w:r>
      <w:rPr>
        <w:sz w:val="18"/>
      </w:rPr>
    </w:r>
    <w:r>
      <mc:AlternateContent>
        <mc:Choice Requires="wps">
          <w:drawing>
            <wp:anchor distT="0" distB="0" distL="114935" distR="114935" simplePos="0" relativeHeight="5" behindDoc="1" locked="0" layoutInCell="0" allowOverlap="1">
              <wp:simplePos x="0" y="0"/>
              <wp:positionH relativeFrom="margin">
                <wp:posOffset>2611755</wp:posOffset>
              </wp:positionH>
              <wp:positionV relativeFrom="paragraph">
                <wp:posOffset>1905</wp:posOffset>
              </wp:positionV>
              <wp:extent cx="177165" cy="121920"/>
              <wp:effectExtent l="0" t="0" r="0" b="0"/>
              <wp:wrapNone/>
              <wp:docPr id="1" name="框架1"/>
              <a:graphic xmlns:a="http://schemas.openxmlformats.org/drawingml/2006/main">
                <a:graphicData uri="http://schemas.microsoft.com/office/word/2010/wordprocessingShape">
                  <wps:wsp>
                    <wps:cNvSpPr txBox="1"/>
                    <wps:spPr>
                      <a:xfrm>
                        <a:off x="0" y="0"/>
                        <a:ext cx="177165" cy="121920"/>
                      </a:xfrm>
                      <a:prstGeom prst="rect"/>
                      <a:solidFill>
                        <a:srgbClr val="FFFFFF">
                          <a:alpha val="0"/>
                        </a:srgbClr>
                      </a:solidFill>
                    </wps:spPr>
                    <wps:txbx>
                      <w:txbxContent>
                        <w:p>
                          <w:pPr>
                            <w:pStyle w:val="Normal"/>
                            <w:tabs>
                              <w:tab w:val="clear" w:pos="420"/>
                              <w:tab w:val="center" w:pos="4153" w:leader="none"/>
                              <w:tab w:val="right" w:pos="8306" w:leader="none"/>
                            </w:tabs>
                            <w:snapToGrid w:val="false"/>
                            <w:jc w:val="start"/>
                            <w:rPr>
                              <w:sz w:val="18"/>
                            </w:rPr>
                          </w:pPr>
                          <w:r>
                            <w:rPr>
                              <w:sz w:val="18"/>
                            </w:rPr>
                            <w:fldChar w:fldCharType="begin"/>
                          </w:r>
                          <w:r>
                            <w:rPr>
                              <w:sz w:val="18"/>
                            </w:rPr>
                            <w:instrText xml:space="preserve"> PAGE </w:instrText>
                          </w:r>
                          <w:r>
                            <w:rPr>
                              <w:sz w:val="18"/>
                            </w:rPr>
                            <w:fldChar w:fldCharType="separate"/>
                          </w:r>
                          <w:r>
                            <w:rPr>
                              <w:sz w:val="18"/>
                            </w:rPr>
                            <w:t>4</w:t>
                          </w:r>
                          <w:r>
                            <w:rPr>
                              <w:sz w:val="18"/>
                            </w:rPr>
                            <w:fldChar w:fldCharType="end"/>
                          </w:r>
                        </w:p>
                      </w:txbxContent>
                    </wps:txbx>
                    <wps:bodyPr anchor="t" lIns="635" tIns="635" rIns="635" bIns="635">
                      <a:spAutoFit/>
                    </wps:bodyPr>
                  </wps:wsp>
                </a:graphicData>
              </a:graphic>
            </wp:anchor>
          </w:drawing>
        </mc:Choice>
        <mc:Fallback>
          <w:pict>
            <v:rect fillcolor="#FFFFFF" style="position:absolute;rotation:-0;width:13.95pt;height:9.6pt;mso-wrap-distance-left:9.05pt;mso-wrap-distance-right:9.05pt;mso-wrap-distance-top:0pt;mso-wrap-distance-bottom:0pt;margin-top:0.15pt;mso-position-vertical-relative:text;margin-left:205.65pt;mso-position-horizontal-relative:margin">
              <v:fill opacity="0f"/>
              <v:textbox inset="0.000694444444444445in,0.000694444444444445in,0.000694444444444445in,0.000694444444444445in">
                <w:txbxContent>
                  <w:p>
                    <w:pPr>
                      <w:pStyle w:val="Normal"/>
                      <w:tabs>
                        <w:tab w:val="clear" w:pos="420"/>
                        <w:tab w:val="center" w:pos="4153" w:leader="none"/>
                        <w:tab w:val="right" w:pos="8306" w:leader="none"/>
                      </w:tabs>
                      <w:snapToGrid w:val="false"/>
                      <w:jc w:val="start"/>
                      <w:rPr>
                        <w:sz w:val="18"/>
                      </w:rPr>
                    </w:pPr>
                    <w:r>
                      <w:rPr>
                        <w:sz w:val="18"/>
                      </w:rPr>
                      <w:fldChar w:fldCharType="begin"/>
                    </w:r>
                    <w:r>
                      <w:rPr>
                        <w:sz w:val="18"/>
                      </w:rPr>
                      <w:instrText xml:space="preserve"> PAGE </w:instrText>
                    </w:r>
                    <w:r>
                      <w:rPr>
                        <w:sz w:val="18"/>
                      </w:rPr>
                      <w:fldChar w:fldCharType="separate"/>
                    </w:r>
                    <w:r>
                      <w:rPr>
                        <w:sz w:val="18"/>
                      </w:rPr>
                      <w:t>4</w:t>
                    </w:r>
                    <w:r>
                      <w:rPr>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sz w:val="18"/>
      </w:rPr>
    </w:pPr>
    <w:r>
      <w:rPr>
        <w:sz w:val="18"/>
      </w:rPr>
    </w:r>
    <w:r>
      <mc:AlternateContent>
        <mc:Choice Requires="wps">
          <w:drawing>
            <wp:anchor distT="0" distB="0" distL="114935" distR="114935" simplePos="0" relativeHeight="10" behindDoc="1" locked="0" layoutInCell="0" allowOverlap="1">
              <wp:simplePos x="0" y="0"/>
              <wp:positionH relativeFrom="margin">
                <wp:posOffset>2611755</wp:posOffset>
              </wp:positionH>
              <wp:positionV relativeFrom="paragraph">
                <wp:posOffset>1905</wp:posOffset>
              </wp:positionV>
              <wp:extent cx="177165" cy="121920"/>
              <wp:effectExtent l="0" t="0" r="0" b="0"/>
              <wp:wrapNone/>
              <wp:docPr id="2" name="框架2"/>
              <a:graphic xmlns:a="http://schemas.openxmlformats.org/drawingml/2006/main">
                <a:graphicData uri="http://schemas.microsoft.com/office/word/2010/wordprocessingShape">
                  <wps:wsp>
                    <wps:cNvSpPr txBox="1"/>
                    <wps:spPr>
                      <a:xfrm>
                        <a:off x="0" y="0"/>
                        <a:ext cx="177165" cy="121920"/>
                      </a:xfrm>
                      <a:prstGeom prst="rect"/>
                      <a:solidFill>
                        <a:srgbClr val="FFFFFF">
                          <a:alpha val="0"/>
                        </a:srgbClr>
                      </a:solidFill>
                    </wps:spPr>
                    <wps:txbx>
                      <w:txbxContent>
                        <w:p>
                          <w:pPr>
                            <w:pStyle w:val="Normal"/>
                            <w:tabs>
                              <w:tab w:val="clear" w:pos="420"/>
                              <w:tab w:val="center" w:pos="4153" w:leader="none"/>
                              <w:tab w:val="right" w:pos="8306" w:leader="none"/>
                            </w:tabs>
                            <w:snapToGrid w:val="false"/>
                            <w:jc w:val="start"/>
                            <w:rPr>
                              <w:sz w:val="18"/>
                            </w:rPr>
                          </w:pPr>
                          <w:r>
                            <w:rPr>
                              <w:sz w:val="18"/>
                            </w:rPr>
                            <w:fldChar w:fldCharType="begin"/>
                          </w:r>
                          <w:r>
                            <w:rPr>
                              <w:sz w:val="18"/>
                            </w:rPr>
                            <w:instrText xml:space="preserve"> PAGE </w:instrText>
                          </w:r>
                          <w:r>
                            <w:rPr>
                              <w:sz w:val="18"/>
                            </w:rPr>
                            <w:fldChar w:fldCharType="separate"/>
                          </w:r>
                          <w:r>
                            <w:rPr>
                              <w:sz w:val="18"/>
                            </w:rPr>
                            <w:t>9</w:t>
                          </w:r>
                          <w:r>
                            <w:rPr>
                              <w:sz w:val="18"/>
                            </w:rPr>
                            <w:fldChar w:fldCharType="end"/>
                          </w:r>
                        </w:p>
                      </w:txbxContent>
                    </wps:txbx>
                    <wps:bodyPr anchor="t" lIns="635" tIns="635" rIns="635" bIns="635">
                      <a:spAutoFit/>
                    </wps:bodyPr>
                  </wps:wsp>
                </a:graphicData>
              </a:graphic>
            </wp:anchor>
          </w:drawing>
        </mc:Choice>
        <mc:Fallback>
          <w:pict>
            <v:rect fillcolor="#FFFFFF" style="position:absolute;rotation:-0;width:13.95pt;height:9.6pt;mso-wrap-distance-left:9.05pt;mso-wrap-distance-right:9.05pt;mso-wrap-distance-top:0pt;mso-wrap-distance-bottom:0pt;margin-top:0.15pt;mso-position-vertical-relative:text;margin-left:205.65pt;mso-position-horizontal-relative:margin">
              <v:fill opacity="0f"/>
              <v:textbox inset="0.000694444444444445in,0.000694444444444445in,0.000694444444444445in,0.000694444444444445in">
                <w:txbxContent>
                  <w:p>
                    <w:pPr>
                      <w:pStyle w:val="Normal"/>
                      <w:tabs>
                        <w:tab w:val="clear" w:pos="420"/>
                        <w:tab w:val="center" w:pos="4153" w:leader="none"/>
                        <w:tab w:val="right" w:pos="8306" w:leader="none"/>
                      </w:tabs>
                      <w:snapToGrid w:val="false"/>
                      <w:jc w:val="start"/>
                      <w:rPr>
                        <w:sz w:val="18"/>
                      </w:rPr>
                    </w:pPr>
                    <w:r>
                      <w:rPr>
                        <w:sz w:val="18"/>
                      </w:rPr>
                      <w:fldChar w:fldCharType="begin"/>
                    </w:r>
                    <w:r>
                      <w:rPr>
                        <w:sz w:val="18"/>
                      </w:rPr>
                      <w:instrText xml:space="preserve"> PAGE </w:instrText>
                    </w:r>
                    <w:r>
                      <w:rPr>
                        <w:sz w:val="18"/>
                      </w:rPr>
                      <w:fldChar w:fldCharType="separate"/>
                    </w:r>
                    <w:r>
                      <w:rPr>
                        <w:sz w:val="18"/>
                      </w:rPr>
                      <w:t>9</w:t>
                    </w:r>
                    <w:r>
                      <w:rPr>
                        <w:sz w:val="1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微软雅黑" w:hAnsi="Calibri;微软雅黑" w:eastAsia="宋体;方正书宋_GBK"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widowControl w:val="false"/>
      <w:suppressLineNumbers/>
      <w:suppressAutoHyphens w:val="true"/>
      <w:spacing w:before="120" w:after="120"/>
    </w:pPr>
    <w:rPr>
      <w:i/>
      <w:iCs/>
      <w:sz w:val="24"/>
      <w:szCs w:val="24"/>
    </w:rPr>
  </w:style>
  <w:style w:type="paragraph" w:styleId="Style16">
    <w:name w:val="索引"/>
    <w:basedOn w:val="Normal"/>
    <w:qFormat/>
    <w:pPr>
      <w:suppressLineNumbers/>
    </w:pPr>
    <w:rPr>
      <w:rFonts w:cs="Lucida Sans"/>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华文中宋" w:cs="Noto Sans CJK SC Regular;华文中宋"/>
      <w:sz w:val="28"/>
      <w:szCs w:val="28"/>
    </w:rPr>
  </w:style>
  <w:style w:type="paragraph" w:styleId="Index">
    <w:name w:val="Index"/>
    <w:basedOn w:val="Normal"/>
    <w:qFormat/>
    <w:pPr>
      <w:widowControl w:val="false"/>
      <w:suppressLineNumbers/>
      <w:suppressAutoHyphens w:val="true"/>
    </w:pPr>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 w:type="paragraph" w:styleId="Style20">
    <w:name w:val="框架内容"/>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user</dc:creator>
  <dc:description/>
  <dc:language>zh-CN</dc:language>
  <cp:lastModifiedBy>user</cp:lastModifiedBy>
  <dcterms:modified xsi:type="dcterms:W3CDTF">2025-11-13T01:32:46Z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2920B493F131F62A3E541469B40A06AA</vt:lpwstr>
  </property>
  <property fmtid="{D5CDD505-2E9C-101B-9397-08002B2CF9AE}" pid="3" name="KSOProductBuildVer">
    <vt:lpwstr>2052-11.8.2.12313</vt:lpwstr>
  </property>
</Properties>
</file>