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Diagnostic Agent</w:t>
        <w:br/>
        <w:t>Current Implementation Design</w:t>
      </w:r>
    </w:p>
    <w:p>
      <w:pPr>
        <w:pStyle w:val="Subtitle"/>
        <w:snapToGrid w:val="0"/>
      </w:pPr>
      <w:r>
        <w:rPr>
          <w:b w:val="0"/>
          <w:i w:val="0"/>
        </w:rPr>
        <w:t>Runtime control, health diagnosis, evidence boundaries, and two-tier model collaboration for EBO</w:t>
      </w:r>
    </w:p>
    <w:p>
      <w:pPr>
        <w:snapToGrid w:val="0"/>
      </w:pPr>
      <w:r>
        <w:rPr>
          <w:b w:val="0"/>
          <w:i w:val="0"/>
        </w:rPr>
        <w:t>Implementation reviewed  September 22, 2026</w:t>
      </w:r>
    </w:p>
    <w:p>
      <w:pPr>
        <w:snapToGrid w:val="0"/>
      </w:pPr>
      <w:r>
        <w:rPr>
          <w:b w:val="0"/>
          <w:i w:val="0"/>
        </w:rPr>
        <w:t>This document describes capabilities that exist in the current workspace. It does not present roadmap items as implemented behavior. It explains how the business runtime is selected, where diagnostic data originates, which decisions are deterministic, what the models contribute, and which conclusions still require human or live-environment verification.</w:t>
      </w:r>
    </w:p>
    <w:p>
      <w:pPr>
        <w:keepNext/>
        <w:spacing w:line="240" w:lineRule="auto"/>
        <w:snapToGrid w:val="0"/>
      </w:pPr>
      <w:r>
        <w:drawing>
          <wp:inline xmlns:a="http://schemas.openxmlformats.org/drawingml/2006/main" xmlns:pic="http://schemas.openxmlformats.org/drawingml/2006/picture">
            <wp:extent cx="6120000" cy="1346400"/>
            <wp:docPr id="1" name="Picture 1" descr="Diagnostic Agent architecture or flow diagram; see adjacent caption and body text"/>
            <wp:cNvGraphicFramePr>
              <a:graphicFrameLocks noChangeAspect="1"/>
            </wp:cNvGraphicFramePr>
            <a:graphic>
              <a:graphicData uri="http://schemas.openxmlformats.org/drawingml/2006/picture">
                <pic:pic>
                  <pic:nvPicPr>
                    <pic:cNvPr id="0" name="en_01.png"/>
                    <pic:cNvPicPr/>
                  </pic:nvPicPr>
                  <pic:blipFill>
                    <a:blip r:embed="rId12"/>
                    <a:stretch>
                      <a:fillRect/>
                    </a:stretch>
                  </pic:blipFill>
                  <pic:spPr>
                    <a:xfrm>
                      <a:off x="0" y="0"/>
                      <a:ext cx="6120000" cy="1346400"/>
                    </a:xfrm>
                    <a:prstGeom prst="rect"/>
                  </pic:spPr>
                </pic:pic>
              </a:graphicData>
            </a:graphic>
          </wp:inline>
        </w:drawing>
      </w:r>
    </w:p>
    <w:p>
      <w:pPr>
        <w:pStyle w:val="Caption"/>
        <w:keepNext w:val="0"/>
        <w:snapToGrid w:val="0"/>
      </w:pPr>
      <w:r>
        <w:rPr>
          <w:b w:val="0"/>
          <w:i w:val="0"/>
        </w:rPr>
        <w:t>Figure 1  Overview from runtime state through diagnosis and verification</w:t>
      </w:r>
    </w:p>
    <w:p>
      <w:pPr>
        <w:snapToGrid w:val="0"/>
      </w:pPr>
      <w:r>
        <w:rPr>
          <w:b w:val="0"/>
          <w:i w:val="0"/>
        </w:rPr>
        <w:t>The key point is that the Diagnostic Agent is not an autonomous model with administrator access. It is a deterministic monitoring and bounded-remediation system with two read-only diagnostic stages. A model assessment of identified means that the evidence supports a root-cause judgment; it does not mean the service has recovered. Recovery is established only by subsequent real health samples.</w:t>
      </w:r>
    </w:p>
    <w:p>
      <w:pPr>
        <w:pStyle w:val="Heading2"/>
        <w:snapToGrid w:val="0"/>
      </w:pPr>
      <w:r>
        <w:t>Current implementation at a glance</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1928"/>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Item</w:t>
            </w:r>
          </w:p>
        </w:tc>
        <w:tc>
          <w:tcPr>
            <w:tcW w:type="dxa" w:w="7710"/>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Current implementation</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Business runtime</w:t>
            </w:r>
          </w:p>
        </w:tc>
        <w:tc>
          <w:tcPr>
            <w:tcW w:type="dxa" w:w="771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AWS Fargate, local Docker, or stopped; the Host Bridge persists the choice and enforces mutual exclusion</w:t>
            </w:r>
          </w:p>
        </w:tc>
      </w:tr>
      <w:tr>
        <w:trPr>
          <w:cantSplit/>
        </w:trPr>
        <w:tc>
          <w:tcPr>
            <w:tcW w:type="dxa" w:w="1928"/>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Models</w:t>
            </w:r>
          </w:p>
        </w:tc>
        <w:tc>
          <w:tcPr>
            <w:tcW w:type="dxa" w:w="7710"/>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Tier 1: gpt-5.6-luna / low; Tier 2: gpt-5.6-sol / high</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Operator UI</w:t>
            </w:r>
          </w:p>
        </w:tc>
        <w:tc>
          <w:tcPr>
            <w:tcW w:type="dxa" w:w="771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Bilingual dashboard on 127.0.0.1:8179 with cloud, local, and stop-everywhere controls</w:t>
            </w:r>
          </w:p>
        </w:tc>
      </w:tr>
      <w:tr>
        <w:trPr>
          <w:cantSplit/>
        </w:trPr>
        <w:tc>
          <w:tcPr>
            <w:tcW w:type="dxa" w:w="1928"/>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Automatic action</w:t>
            </w:r>
          </w:p>
        </w:tc>
        <w:tc>
          <w:tcPr>
            <w:tcW w:type="dxa" w:w="7710"/>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Fixed, bounded, and budget-reserved; models cannot restart, deploy, edit configuration, or call AWS</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Verification</w:t>
            </w:r>
          </w:p>
        </w:tc>
        <w:tc>
          <w:tcPr>
            <w:tcW w:type="dxa" w:w="771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 tests rerun on 2026-09-22: 109 passed, 0 failed, 0 skipped</w:t>
            </w:r>
          </w:p>
        </w:tc>
      </w:tr>
    </w:tbl>
    <w:p>
      <w:pPr>
        <w:spacing w:after="20"/>
        <w:snapToGrid w:val="0"/>
      </w:pPr>
    </w:p>
    <w:p>
      <w:pPr>
        <w:pStyle w:val="Heading1"/>
        <w:pageBreakBefore/>
        <w:snapToGrid w:val="0"/>
      </w:pPr>
      <w:r>
        <w:t>1 System components</w:t>
      </w:r>
    </w:p>
    <w:p>
      <w:pPr>
        <w:snapToGrid w:val="0"/>
      </w:pPr>
      <w:r>
        <w:rPr>
          <w:b w:val="0"/>
          <w:i w:val="0"/>
        </w:rPr>
        <w:t>The business runtime handles the robot, realtime voice, and Home Assistant. The diagnostic plane observes it from the side. The business may run on AWS Fargate or local Docker, while the Host Bridge enforces an exclusive choice. Watcher, diagnostic-service, codex-triage, and codex-worker are four local diagnostic containers. [S01 S02 S03]</w:t>
      </w:r>
    </w:p>
    <w:p>
      <w:pPr>
        <w:snapToGrid w:val="0"/>
      </w:pPr>
      <w:r>
        <w:rPr>
          <w:b w:val="0"/>
          <w:i w:val="0"/>
        </w:rPr>
        <w:t>diagnostic-service persists jobs and dispatches two model tiers. Tier 1 performs fast triage. Tier 2, when needed, reviews the same evidence, the triage result, and a source snapshot. Neither model tier has a business-recovery interface.</w:t>
      </w:r>
    </w:p>
    <w:p>
      <w:pPr>
        <w:keepNext/>
        <w:spacing w:line="240" w:lineRule="auto"/>
        <w:snapToGrid w:val="0"/>
      </w:pPr>
      <w:r>
        <w:drawing>
          <wp:inline xmlns:a="http://schemas.openxmlformats.org/drawingml/2006/main" xmlns:pic="http://schemas.openxmlformats.org/drawingml/2006/picture">
            <wp:extent cx="6120000" cy="1346400"/>
            <wp:docPr id="2" name="Picture 2" descr="Diagnostic Agent architecture or flow diagram; see adjacent caption and body text"/>
            <wp:cNvGraphicFramePr>
              <a:graphicFrameLocks noChangeAspect="1"/>
            </wp:cNvGraphicFramePr>
            <a:graphic>
              <a:graphicData uri="http://schemas.openxmlformats.org/drawingml/2006/picture">
                <pic:pic>
                  <pic:nvPicPr>
                    <pic:cNvPr id="0" name="en_01.png"/>
                    <pic:cNvPicPr/>
                  </pic:nvPicPr>
                  <pic:blipFill>
                    <a:blip r:embed="rId12"/>
                    <a:stretch>
                      <a:fillRect/>
                    </a:stretch>
                  </pic:blipFill>
                  <pic:spPr>
                    <a:xfrm>
                      <a:off x="0" y="0"/>
                      <a:ext cx="6120000" cy="1346400"/>
                    </a:xfrm>
                    <a:prstGeom prst="rect"/>
                  </pic:spPr>
                </pic:pic>
              </a:graphicData>
            </a:graphic>
          </wp:inline>
        </w:drawing>
      </w:r>
    </w:p>
    <w:p>
      <w:pPr>
        <w:pStyle w:val="Caption"/>
        <w:keepNext w:val="0"/>
        <w:snapToGrid w:val="0"/>
      </w:pPr>
      <w:r>
        <w:rPr>
          <w:b w:val="0"/>
          <w:i w:val="0"/>
        </w:rPr>
        <w:t>Figure 2  Relationship among the business runtime, host control, deterministic diagnosis, and two model tiers</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Component</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Primary responsibility</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Direct business control</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Host Bridge</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Runtime switching, Docker/AWS I/O, caches, constrained control APIs</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Only through fixed code</w:t>
            </w:r>
          </w:p>
        </w:tc>
      </w:tr>
      <w:tr>
        <w:trPr>
          <w:cantSplit/>
        </w:trPr>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Watcher</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Sampling, confirmation, bounded recovery, diagnosis submission, real-health verification</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Requests a constrained bridge action</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diagnostic-service</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Persists jobs and selects Tier 1/Tier 2</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No</w:t>
            </w:r>
          </w:p>
        </w:tc>
      </w:tr>
      <w:tr>
        <w:trPr>
          <w:cantSplit/>
        </w:trPr>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Model workers</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Explain evidence and read-only source; return structured reports</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No</w:t>
            </w:r>
          </w:p>
        </w:tc>
      </w:tr>
    </w:tbl>
    <w:p>
      <w:pPr>
        <w:spacing w:after="20"/>
        <w:snapToGrid w:val="0"/>
      </w:pPr>
    </w:p>
    <w:p>
      <w:pPr>
        <w:pStyle w:val="Heading1"/>
        <w:pageBreakBefore/>
        <w:snapToGrid w:val="0"/>
      </w:pPr>
      <w:r>
        <w:t>2 Runtime selection and durable intent</w:t>
      </w:r>
    </w:p>
    <w:p>
      <w:pPr>
        <w:snapToGrid w:val="0"/>
      </w:pPr>
      <w:r>
        <w:rPr>
          <w:b w:val="0"/>
          <w:i w:val="0"/>
        </w:rPr>
        <w:t>Runtime selection supports aws, local, and stopped. Before side effects, the Host Bridge writes the desired state to local/host/runtime.json, so the last operator choice survives restart. config.local.json supplies startup configuration and must not be confused with the durable runtime choice. [S03 S04]</w:t>
      </w:r>
    </w:p>
    <w:p>
      <w:pPr>
        <w:snapToGrid w:val="0"/>
      </w:pPr>
      <w:r>
        <w:rPr>
          <w:b w:val="0"/>
          <w:i w:val="0"/>
        </w:rPr>
        <w:t>A switch is serialized. AWS mode stops the three local business containers, disables their automatic restart, sets the ECS Service desired count to one, and waits for task, container, audio, and video capability. Local mode first sets the cloud desired count to zero and waits for every running, pending, and live task to disappear, then starts and verifies local Engine, Assistant, and HA. stopped makes a best effort to shut down both sides.</w:t>
      </w:r>
    </w:p>
    <w:p>
      <w:pPr>
        <w:snapToGrid w:val="0"/>
      </w:pPr>
      <w:r>
        <w:rPr>
          <w:b w:val="0"/>
          <w:i w:val="0"/>
        </w:rPr>
        <w:t>Every 60 seconds, the controller compares intent with reality. If the active environment unexpectedly stops, and maintenance, observe mode, and budget do not block it, one automatic restoration may be attempted. A stop request received during another operation is queued; an interrupted switch becomes failed and requires an explicit retry.</w:t>
      </w:r>
    </w:p>
    <w:p>
      <w:pPr>
        <w:keepNext/>
        <w:spacing w:line="240" w:lineRule="auto"/>
        <w:snapToGrid w:val="0"/>
      </w:pPr>
      <w:r>
        <w:drawing>
          <wp:inline xmlns:a="http://schemas.openxmlformats.org/drawingml/2006/main" xmlns:pic="http://schemas.openxmlformats.org/drawingml/2006/picture">
            <wp:extent cx="6120000" cy="1346400"/>
            <wp:docPr id="3" name="Picture 3" descr="Diagnostic Agent architecture or flow diagram; see adjacent caption and body text"/>
            <wp:cNvGraphicFramePr>
              <a:graphicFrameLocks noChangeAspect="1"/>
            </wp:cNvGraphicFramePr>
            <a:graphic>
              <a:graphicData uri="http://schemas.openxmlformats.org/drawingml/2006/picture">
                <pic:pic>
                  <pic:nvPicPr>
                    <pic:cNvPr id="0" name="en_03.png"/>
                    <pic:cNvPicPr/>
                  </pic:nvPicPr>
                  <pic:blipFill>
                    <a:blip r:embed="rId13"/>
                    <a:stretch>
                      <a:fillRect/>
                    </a:stretch>
                  </pic:blipFill>
                  <pic:spPr>
                    <a:xfrm>
                      <a:off x="0" y="0"/>
                      <a:ext cx="6120000" cy="1346400"/>
                    </a:xfrm>
                    <a:prstGeom prst="rect"/>
                  </pic:spPr>
                </pic:pic>
              </a:graphicData>
            </a:graphic>
          </wp:inline>
        </w:drawing>
      </w:r>
    </w:p>
    <w:p>
      <w:pPr>
        <w:pStyle w:val="Caption"/>
        <w:keepNext w:val="0"/>
        <w:snapToGrid w:val="0"/>
      </w:pPr>
      <w:r>
        <w:rPr>
          <w:b w:val="0"/>
          <w:i w:val="0"/>
        </w:rPr>
        <w:t>Figure 3  A runtime switch persists intent before mutually exclusive stop/start and capability verification</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Mode</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Completion condition</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Failure meaning</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aws</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Local business is off; cloud task and capabilities are healthy</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Step and error are recorded; retry is possible</w:t>
            </w:r>
          </w:p>
        </w:tc>
      </w:tr>
      <w:tr>
        <w:trPr>
          <w:cantSplit/>
        </w:trPr>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local</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Cloud tasks are fully gone; three local services are healthy</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Cloud and local business are not intentionally left running together</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stopped</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Both sides are stopped or each shutdown was attempted</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Failure on one side does not prevent trying the other</w:t>
            </w:r>
          </w:p>
        </w:tc>
      </w:tr>
    </w:tbl>
    <w:p>
      <w:pPr>
        <w:spacing w:after="20"/>
        <w:snapToGrid w:val="0"/>
      </w:pPr>
    </w:p>
    <w:p>
      <w:pPr>
        <w:pStyle w:val="Heading1"/>
        <w:pageBreakBefore/>
        <w:snapToGrid w:val="0"/>
      </w:pPr>
      <w:r>
        <w:t>3 Dashboard and control path</w:t>
      </w:r>
    </w:p>
    <w:p>
      <w:pPr>
        <w:snapToGrid w:val="0"/>
      </w:pPr>
      <w:r>
        <w:rPr>
          <w:b w:val="0"/>
          <w:i w:val="0"/>
        </w:rPr>
        <w:t>The dashboard listens only on 127.0.0.1:8179. English is the default; Chinese can be selected and remembered. It exposes Run cloud, Run local, and Stop everywhere, and shows desired versus actual state, switch steps, health issues, recent incidents, model stages, runtime history, and the full health report. [S05]</w:t>
      </w:r>
    </w:p>
    <w:p>
      <w:pPr>
        <w:snapToGrid w:val="0"/>
      </w:pPr>
      <w:r>
        <w:rPr>
          <w:b w:val="0"/>
          <w:i w:val="0"/>
        </w:rPr>
        <w:t>Writes require a loopback Host header, same-origin request, and CSRF token; JSON bodies are limited to 1,024 bytes. Bridge tokens, AWS profiles, and administrative credentials are never sent to the page. The browser can only request fixed actions from the local Host Bridge.</w:t>
      </w:r>
    </w:p>
    <w:p>
      <w:pPr>
        <w:keepNext/>
        <w:spacing w:line="240" w:lineRule="auto"/>
        <w:snapToGrid w:val="0"/>
      </w:pPr>
      <w:r>
        <w:drawing>
          <wp:inline xmlns:a="http://schemas.openxmlformats.org/drawingml/2006/main" xmlns:pic="http://schemas.openxmlformats.org/drawingml/2006/picture">
            <wp:extent cx="6120000" cy="1346400"/>
            <wp:docPr id="4" name="Picture 4" descr="Diagnostic Agent architecture or flow diagram; see adjacent caption and body text"/>
            <wp:cNvGraphicFramePr>
              <a:graphicFrameLocks noChangeAspect="1"/>
            </wp:cNvGraphicFramePr>
            <a:graphic>
              <a:graphicData uri="http://schemas.openxmlformats.org/drawingml/2006/picture">
                <pic:pic>
                  <pic:nvPicPr>
                    <pic:cNvPr id="0" name="en_04.png"/>
                    <pic:cNvPicPr/>
                  </pic:nvPicPr>
                  <pic:blipFill>
                    <a:blip r:embed="rId14"/>
                    <a:stretch>
                      <a:fillRect/>
                    </a:stretch>
                  </pic:blipFill>
                  <pic:spPr>
                    <a:xfrm>
                      <a:off x="0" y="0"/>
                      <a:ext cx="6120000" cy="1346400"/>
                    </a:xfrm>
                    <a:prstGeom prst="rect"/>
                  </pic:spPr>
                </pic:pic>
              </a:graphicData>
            </a:graphic>
          </wp:inline>
        </w:drawing>
      </w:r>
    </w:p>
    <w:p>
      <w:pPr>
        <w:pStyle w:val="Caption"/>
        <w:keepNext w:val="0"/>
        <w:snapToGrid w:val="0"/>
      </w:pPr>
      <w:r>
        <w:rPr>
          <w:b w:val="0"/>
          <w:i w:val="0"/>
        </w:rPr>
        <w:t>Figure 4  Browser actions cross a local security boundary into the fixed runtime controller</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Panel</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Source</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How to read it</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Runtime card</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runtime.json and live checks</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desired and actual may temporarily differ</w:t>
            </w:r>
          </w:p>
        </w:tc>
      </w:tr>
      <w:tr>
        <w:trPr>
          <w:cantSplit/>
        </w:trPr>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Health/incidents</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Watcher report files</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model completion does not prove recovery</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Billing</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local cache</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page refresh does not query providers again</w:t>
            </w:r>
          </w:p>
        </w:tc>
      </w:tr>
      <w:tr>
        <w:trPr>
          <w:cantSplit/>
        </w:trPr>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Conversations</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local/CloudWatch allowlisted text</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no WAV or internal identifiers are exposed</w:t>
            </w:r>
          </w:p>
        </w:tc>
      </w:tr>
    </w:tbl>
    <w:p>
      <w:pPr>
        <w:spacing w:after="20"/>
        <w:snapToGrid w:val="0"/>
      </w:pPr>
    </w:p>
    <w:p>
      <w:pPr>
        <w:pStyle w:val="Heading1"/>
        <w:pageBreakBefore/>
        <w:snapToGrid w:val="0"/>
      </w:pPr>
      <w:r>
        <w:t>4 Cloud health data lineage</w:t>
      </w:r>
    </w:p>
    <w:p>
      <w:pPr>
        <w:snapToGrid w:val="0"/>
      </w:pPr>
      <w:r>
        <w:rPr>
          <w:b w:val="0"/>
          <w:i w:val="0"/>
        </w:rPr>
        <w:t>A wrapper inside the cloud task calls Engine /api/robots and Assistant /health about every 15 seconds, then writes only allowlisted health.snapshot JSON to CloudWatch. The host AWS adapter lists current service tasks and container state, reads matching log streams, validates timestamps, and selects the newest usable event. [S06 S07]</w:t>
      </w:r>
    </w:p>
    <w:p>
      <w:pPr>
        <w:snapToGrid w:val="0"/>
      </w:pPr>
      <w:r>
        <w:rPr>
          <w:b w:val="0"/>
          <w:i w:val="0"/>
        </w:rPr>
        <w:t>Control-plane and business evidence are merged. A RUNNING task does not prove robot, audio, or video capability. If identity, account, pagination, time, or cache state cannot be trusted, the system returns monitoring_failed or unknown instead of treating missing evidence as healthy.</w:t>
      </w:r>
    </w:p>
    <w:p>
      <w:pPr>
        <w:keepNext/>
        <w:spacing w:line="240" w:lineRule="auto"/>
        <w:snapToGrid w:val="0"/>
      </w:pPr>
      <w:r>
        <w:drawing>
          <wp:inline xmlns:a="http://schemas.openxmlformats.org/drawingml/2006/main" xmlns:pic="http://schemas.openxmlformats.org/drawingml/2006/picture">
            <wp:extent cx="6120000" cy="1346400"/>
            <wp:docPr id="5" name="Picture 5" descr="Diagnostic Agent architecture or flow diagram; see adjacent caption and body text"/>
            <wp:cNvGraphicFramePr>
              <a:graphicFrameLocks noChangeAspect="1"/>
            </wp:cNvGraphicFramePr>
            <a:graphic>
              <a:graphicData uri="http://schemas.openxmlformats.org/drawingml/2006/picture">
                <pic:pic>
                  <pic:nvPicPr>
                    <pic:cNvPr id="0" name="en_05.png"/>
                    <pic:cNvPicPr/>
                  </pic:nvPicPr>
                  <pic:blipFill>
                    <a:blip r:embed="rId15"/>
                    <a:stretch>
                      <a:fillRect/>
                    </a:stretch>
                  </pic:blipFill>
                  <pic:spPr>
                    <a:xfrm>
                      <a:off x="0" y="0"/>
                      <a:ext cx="6120000" cy="1346400"/>
                    </a:xfrm>
                    <a:prstGeom prst="rect"/>
                  </pic:spPr>
                </pic:pic>
              </a:graphicData>
            </a:graphic>
          </wp:inline>
        </w:drawing>
      </w:r>
    </w:p>
    <w:p>
      <w:pPr>
        <w:pStyle w:val="Caption"/>
        <w:keepNext w:val="0"/>
        <w:snapToGrid w:val="0"/>
      </w:pPr>
      <w:r>
        <w:rPr>
          <w:b w:val="0"/>
          <w:i w:val="0"/>
        </w:rPr>
        <w:t>Figure 5  Cloud business capability and ECS control-plane evidence are merged on the host</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Evidence</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What it proves</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What it does not prove</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ECS task RUNNING</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The scheduling unit is running</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Audio/video capability is usable</w:t>
            </w:r>
          </w:p>
        </w:tc>
      </w:tr>
      <w:tr>
        <w:trPr>
          <w:cantSplit/>
        </w:trPr>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Engine state</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Robot and incoming-media state</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Assistant consumes it correctly</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Assistant state</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Source, media, and session state</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Robot speaker end to end succeeds</w:t>
            </w:r>
          </w:p>
        </w:tc>
      </w:tr>
      <w:tr>
        <w:trPr>
          <w:cantSplit/>
        </w:trPr>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Sample time</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Evidence freshness</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No short failure occurred between samples</w:t>
            </w:r>
          </w:p>
        </w:tc>
      </w:tr>
    </w:tbl>
    <w:p>
      <w:pPr>
        <w:spacing w:after="20"/>
        <w:snapToGrid w:val="0"/>
      </w:pPr>
    </w:p>
    <w:p>
      <w:pPr>
        <w:pStyle w:val="Heading1"/>
        <w:pageBreakBefore/>
        <w:snapToGrid w:val="0"/>
      </w:pPr>
      <w:r>
        <w:t>5 Audio health and RTC rejoin recovery</w:t>
      </w:r>
    </w:p>
    <w:p>
      <w:pPr>
        <w:snapToGrid w:val="0"/>
      </w:pPr>
      <w:r>
        <w:rPr>
          <w:b w:val="0"/>
          <w:i w:val="0"/>
        </w:rPr>
        <w:t>Audio health uses evidence that the robot upstream received real packets, Engine decoded real PCM, and Assistant saw the expected source and media state. Diagnostics receive booleans, counts, and ages—not household recordings. [S08 S09]</w:t>
      </w:r>
    </w:p>
    <w:p>
      <w:pPr>
        <w:snapToGrid w:val="0"/>
      </w:pPr>
      <w:r>
        <w:rPr>
          <w:b w:val="0"/>
          <w:i w:val="0"/>
        </w:rPr>
        <w:t>After an unplanned robot RTC rejoin, the bridge re-sends OP_AUDIO_LISTEN and re-subscribes to audio after 2.5, 5, 10, 20, and 30 seconds. It stops when real PCM arrives and cancels for a stale generation, shutdown, disconnect, or mute. This is bounded recovery, not an endless loop.</w:t>
      </w:r>
    </w:p>
    <w:p>
      <w:pPr>
        <w:snapToGrid w:val="0"/>
      </w:pPr>
      <w:r>
        <w:rPr>
          <w:b w:val="0"/>
          <w:i w:val="0"/>
        </w:rPr>
        <w:t>unplanned_realtime_reconnects is included in health evidence. Authenticated runtime intent from the Host Bridge suppresses false incidents during a switch or while stopped.</w:t>
      </w:r>
    </w:p>
    <w:p>
      <w:pPr>
        <w:keepNext/>
        <w:spacing w:line="240" w:lineRule="auto"/>
        <w:snapToGrid w:val="0"/>
      </w:pPr>
      <w:r>
        <w:drawing>
          <wp:inline xmlns:a="http://schemas.openxmlformats.org/drawingml/2006/main" xmlns:pic="http://schemas.openxmlformats.org/drawingml/2006/picture">
            <wp:extent cx="6120000" cy="1346400"/>
            <wp:docPr id="6" name="Picture 6" descr="Diagnostic Agent architecture or flow diagram; see adjacent caption and body text"/>
            <wp:cNvGraphicFramePr>
              <a:graphicFrameLocks noChangeAspect="1"/>
            </wp:cNvGraphicFramePr>
            <a:graphic>
              <a:graphicData uri="http://schemas.openxmlformats.org/drawingml/2006/picture">
                <pic:pic>
                  <pic:nvPicPr>
                    <pic:cNvPr id="0" name="en_06.png"/>
                    <pic:cNvPicPr/>
                  </pic:nvPicPr>
                  <pic:blipFill>
                    <a:blip r:embed="rId16"/>
                    <a:stretch>
                      <a:fillRect/>
                    </a:stretch>
                  </pic:blipFill>
                  <pic:spPr>
                    <a:xfrm>
                      <a:off x="0" y="0"/>
                      <a:ext cx="6120000" cy="1346400"/>
                    </a:xfrm>
                    <a:prstGeom prst="rect"/>
                  </pic:spPr>
                </pic:pic>
              </a:graphicData>
            </a:graphic>
          </wp:inline>
        </w:drawing>
      </w:r>
    </w:p>
    <w:p>
      <w:pPr>
        <w:pStyle w:val="Caption"/>
        <w:keepNext w:val="0"/>
        <w:snapToGrid w:val="0"/>
      </w:pPr>
      <w:r>
        <w:rPr>
          <w:b w:val="0"/>
          <w:i w:val="0"/>
        </w:rPr>
        <w:t>Figure 6  Audio path and bounded source recovery after an RTC rejoin</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Condition</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Recovery behavior</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Stop condition</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Unplanned RTC rejoin</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At most five delayed listen/resubscribe attempts</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Real PCM arrives</w:t>
            </w:r>
          </w:p>
        </w:tc>
      </w:tr>
      <w:tr>
        <w:trPr>
          <w:cantSplit/>
        </w:trPr>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Connection generation changes</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Old recovery task cannot operate on the new connection</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Generation mismatch</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Mute or shutdown</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The microphone is not forced open</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Mute, disconnect, or shutdown</w:t>
            </w:r>
          </w:p>
        </w:tc>
      </w:tr>
    </w:tbl>
    <w:p>
      <w:pPr>
        <w:spacing w:after="20"/>
        <w:snapToGrid w:val="0"/>
      </w:pPr>
    </w:p>
    <w:p>
      <w:pPr>
        <w:pStyle w:val="Heading1"/>
        <w:pageBreakBefore/>
        <w:snapToGrid w:val="0"/>
      </w:pPr>
      <w:r>
        <w:t>6 Sampling, confirmation, and classification</w:t>
      </w:r>
    </w:p>
    <w:p>
      <w:pPr>
        <w:snapToGrid w:val="0"/>
      </w:pPr>
      <w:r>
        <w:rPr>
          <w:b w:val="0"/>
          <w:i w:val="0"/>
        </w:rPr>
        <w:t>Cloud health events are produced about every 15 seconds, host AWS sampling targets a 60-second cycle, and Watcher waits 10 seconds after a cycle. The 600-second value is a log lookback and 180 seconds is evidence validity; neither is a poll interval. A fault needs at least 60 seconds plus a newer sample; recovery needs 30 seconds of sustained health. [S01 S10]</w:t>
      </w:r>
    </w:p>
    <w:p>
      <w:pPr>
        <w:snapToGrid w:val="0"/>
      </w:pPr>
      <w:r>
        <w:rPr>
          <w:b w:val="0"/>
          <w:i w:val="0"/>
        </w:rPr>
        <w:t>Classification first asks whether observation is reliable, then whether resources are ready, and finally whether business capabilities work. Maintenance, explicit stop, and runtime transition are suppressed or grace states. They are not healthy and must not be recorded as verified recovery.</w:t>
      </w:r>
    </w:p>
    <w:p>
      <w:pPr>
        <w:keepNext/>
        <w:spacing w:line="240" w:lineRule="auto"/>
        <w:snapToGrid w:val="0"/>
      </w:pPr>
      <w:r>
        <w:drawing>
          <wp:inline xmlns:a="http://schemas.openxmlformats.org/drawingml/2006/main" xmlns:pic="http://schemas.openxmlformats.org/drawingml/2006/picture">
            <wp:extent cx="6120000" cy="1346400"/>
            <wp:docPr id="7" name="Picture 7" descr="Diagnostic Agent architecture or flow diagram; see adjacent caption and body text"/>
            <wp:cNvGraphicFramePr>
              <a:graphicFrameLocks noChangeAspect="1"/>
            </wp:cNvGraphicFramePr>
            <a:graphic>
              <a:graphicData uri="http://schemas.openxmlformats.org/drawingml/2006/picture">
                <pic:pic>
                  <pic:nvPicPr>
                    <pic:cNvPr id="0" name="en_07.png"/>
                    <pic:cNvPicPr/>
                  </pic:nvPicPr>
                  <pic:blipFill>
                    <a:blip r:embed="rId17"/>
                    <a:stretch>
                      <a:fillRect/>
                    </a:stretch>
                  </pic:blipFill>
                  <pic:spPr>
                    <a:xfrm>
                      <a:off x="0" y="0"/>
                      <a:ext cx="6120000" cy="1346400"/>
                    </a:xfrm>
                    <a:prstGeom prst="rect"/>
                  </pic:spPr>
                </pic:pic>
              </a:graphicData>
            </a:graphic>
          </wp:inline>
        </w:drawing>
      </w:r>
    </w:p>
    <w:p>
      <w:pPr>
        <w:pStyle w:val="Caption"/>
        <w:keepNext w:val="0"/>
        <w:snapToGrid w:val="0"/>
      </w:pPr>
      <w:r>
        <w:rPr>
          <w:b w:val="0"/>
          <w:i w:val="0"/>
        </w:rPr>
        <w:t>Figure 7  Fixed decision order from evidence freshness to business capability</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State</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Meaning</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Next step</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healthy</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Allowlisted capability stays good</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May close an existing incident</w:t>
            </w:r>
          </w:p>
        </w:tc>
      </w:tr>
      <w:tr>
        <w:trPr>
          <w:cantSplit/>
        </w:trPr>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grace</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Startup or platform self-healing is within its window</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Wait for a newer sample</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suppressed</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Maintenance, stop, or transition</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Do not call it recovered</w:t>
            </w:r>
          </w:p>
        </w:tc>
      </w:tr>
      <w:tr>
        <w:trPr>
          <w:cantSplit/>
        </w:trPr>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fault</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Reliable new evidence remains abnormal</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Enter the incident state machine</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monitoring_failed</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Evidence cannot be acquired or interpreted reliably</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Diagnose the monitoring path</w:t>
            </w:r>
          </w:p>
        </w:tc>
      </w:tr>
    </w:tbl>
    <w:p>
      <w:pPr>
        <w:spacing w:after="20"/>
        <w:snapToGrid w:val="0"/>
      </w:pPr>
    </w:p>
    <w:p>
      <w:pPr>
        <w:pStyle w:val="Heading1"/>
        <w:pageBreakBefore/>
        <w:snapToGrid w:val="0"/>
      </w:pPr>
      <w:r>
        <w:t>7 Watcher state machine and incident walkthrough</w:t>
      </w:r>
    </w:p>
    <w:p>
      <w:pPr>
        <w:snapToGrid w:val="0"/>
      </w:pPr>
      <w:r>
        <w:rPr>
          <w:b w:val="0"/>
          <w:i w:val="0"/>
        </w:rPr>
        <w:t>Each target has an independent incident, confirmation clock, recovery budget, diagnostic job, and notification state. The first bad sample enters pending. After confirmation, applicable fixed recovery is reserved once; otherwise the incident goes directly to diagnosis_pending. Diagnosis is submitted only after the recovery window still shows failure. [S11]</w:t>
      </w:r>
    </w:p>
    <w:p>
      <w:pPr>
        <w:snapToGrid w:val="0"/>
      </w:pPr>
      <w:r>
        <w:rPr>
          <w:b w:val="0"/>
          <w:i w:val="0"/>
        </w:rPr>
        <w:t>diagnosing means only that a model job is running. A finished job with unhealthy business becomes unresolved. At any stage, only sustained real-health samples close the incident. Maintenance, stop, or environment change closes as unverified rather than recovered.</w:t>
      </w:r>
    </w:p>
    <w:p>
      <w:pPr>
        <w:keepNext/>
        <w:spacing w:line="240" w:lineRule="auto"/>
        <w:snapToGrid w:val="0"/>
      </w:pPr>
      <w:r>
        <w:drawing>
          <wp:inline xmlns:a="http://schemas.openxmlformats.org/drawingml/2006/main" xmlns:pic="http://schemas.openxmlformats.org/drawingml/2006/picture">
            <wp:extent cx="6120000" cy="1346400"/>
            <wp:docPr id="8" name="Picture 8" descr="Diagnostic Agent architecture or flow diagram; see adjacent caption and body text"/>
            <wp:cNvGraphicFramePr>
              <a:graphicFrameLocks noChangeAspect="1"/>
            </wp:cNvGraphicFramePr>
            <a:graphic>
              <a:graphicData uri="http://schemas.openxmlformats.org/drawingml/2006/picture">
                <pic:pic>
                  <pic:nvPicPr>
                    <pic:cNvPr id="0" name="en_08.png"/>
                    <pic:cNvPicPr/>
                  </pic:nvPicPr>
                  <pic:blipFill>
                    <a:blip r:embed="rId18"/>
                    <a:stretch>
                      <a:fillRect/>
                    </a:stretch>
                  </pic:blipFill>
                  <pic:spPr>
                    <a:xfrm>
                      <a:off x="0" y="0"/>
                      <a:ext cx="6120000" cy="1346400"/>
                    </a:xfrm>
                    <a:prstGeom prst="rect"/>
                  </pic:spPr>
                </pic:pic>
              </a:graphicData>
            </a:graphic>
          </wp:inline>
        </w:drawing>
      </w:r>
    </w:p>
    <w:p>
      <w:pPr>
        <w:pStyle w:val="Caption"/>
        <w:keepNext w:val="0"/>
        <w:snapToGrid w:val="0"/>
      </w:pPr>
      <w:r>
        <w:rPr>
          <w:b w:val="0"/>
          <w:i w:val="0"/>
        </w:rPr>
        <w:t>Figure 8  The fixed state machine separates diagnostic completion from business recovery</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4819"/>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Example stage</w:t>
            </w:r>
          </w:p>
        </w:tc>
        <w:tc>
          <w:tcPr>
            <w:tcW w:type="dxa" w:w="4819"/>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What happens during a video stall</w:t>
            </w:r>
          </w:p>
        </w:tc>
      </w:tr>
      <w:tr>
        <w:trPr>
          <w:cantSplit/>
        </w:trPr>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t=0</w:t>
            </w:r>
          </w:p>
        </w:tc>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First new bad sample starts confirmation only</w:t>
            </w:r>
          </w:p>
        </w:tc>
      </w:tr>
      <w:tr>
        <w:trPr>
          <w:cantSplit/>
        </w:trPr>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about t=60s</w:t>
            </w:r>
          </w:p>
        </w:tc>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 newer bad sample creates the incident and evidence</w:t>
            </w:r>
          </w:p>
        </w:tc>
      </w:tr>
      <w:tr>
        <w:trPr>
          <w:cantSplit/>
        </w:trPr>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Diagnosis</w:t>
            </w:r>
          </w:p>
        </w:tc>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With cloud task replacement disabled, read-only analysis starts</w:t>
            </w:r>
          </w:p>
        </w:tc>
      </w:tr>
      <w:tr>
        <w:trPr>
          <w:cantSplit/>
        </w:trPr>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Recovery</w:t>
            </w:r>
          </w:p>
        </w:tc>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Only 30 seconds of sustained healthy samples closes the incident</w:t>
            </w:r>
          </w:p>
        </w:tc>
      </w:tr>
      <w:tr>
        <w:trPr>
          <w:cantSplit/>
        </w:trPr>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Still broken</w:t>
            </w:r>
          </w:p>
        </w:tc>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 terminal job or notification deadline tells the user to inspect the report</w:t>
            </w:r>
          </w:p>
        </w:tc>
      </w:tr>
    </w:tbl>
    <w:p>
      <w:pPr>
        <w:spacing w:after="20"/>
        <w:snapToGrid w:val="0"/>
      </w:pPr>
    </w:p>
    <w:p>
      <w:pPr>
        <w:pStyle w:val="Heading1"/>
        <w:pageBreakBefore/>
        <w:snapToGrid w:val="0"/>
      </w:pPr>
      <w:r>
        <w:t>8 What fixed recovery can do</w:t>
      </w:r>
    </w:p>
    <w:p>
      <w:pPr>
        <w:snapToGrid w:val="0"/>
      </w:pPr>
      <w:r>
        <w:rPr>
          <w:b w:val="0"/>
          <w:i w:val="0"/>
        </w:rPr>
        <w:t>Recovery is encoded in the program and guarded by observationOnly, maintenance, autoRecovery, target switches, cooldowns, counts, and idempotent action IDs. Watcher and Host Bridge both persist reserved before issuing a command, prioritizing duplicate prevention. [S12 S13]</w:t>
      </w:r>
    </w:p>
    <w:p>
      <w:pPr>
        <w:snapToGrid w:val="0"/>
      </w:pPr>
      <w:r>
        <w:rPr>
          <w:b w:val="0"/>
          <w:i w:val="0"/>
        </w:rPr>
        <w:t>Local services may be restarted by fixed target. Normal cloud runtime switching uses ECS update-service desired-count and never StopTask. Incident-time restartOnStall remains a separate option and is currently off. HTTP 202 means accepted, not successful; real health is still the final check.</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Action</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Required condition</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Model can trigger it</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Local service restart</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Allowed target, budget, and cooldown</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No</w:t>
            </w:r>
          </w:p>
        </w:tc>
      </w:tr>
      <w:tr>
        <w:trPr>
          <w:cantSplit/>
        </w:trPr>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Cloud runtime start/stop</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Control identity, account, and service constraints pass</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No</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Incident-time cloud task replacement</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restartOnStall explicitly enabled and budgeted</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No</w:t>
            </w:r>
          </w:p>
        </w:tc>
      </w:tr>
      <w:tr>
        <w:trPr>
          <w:cantSplit/>
        </w:trPr>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Deploy/edit code or configuration</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No automatic path exists</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No</w:t>
            </w:r>
          </w:p>
        </w:tc>
      </w:tr>
    </w:tbl>
    <w:p>
      <w:pPr>
        <w:spacing w:after="20"/>
        <w:snapToGrid w:val="0"/>
      </w:pPr>
    </w:p>
    <w:p>
      <w:pPr>
        <w:pStyle w:val="Heading1"/>
        <w:pageBreakBefore/>
        <w:snapToGrid w:val="0"/>
      </w:pPr>
      <w:r>
        <w:t>9 Evidence package and model tiers</w:t>
      </w:r>
    </w:p>
    <w:p>
      <w:pPr>
        <w:snapToGrid w:val="0"/>
      </w:pPr>
      <w:r>
        <w:rPr>
          <w:b w:val="0"/>
          <w:i w:val="0"/>
        </w:rPr>
        <w:t>An incident evidence package contains health endpoints, filtered logs, ECS state, event history, pre/post-action samples, and fixed metadata. It excludes recordings, full conversations, credentials, and arbitrary host files. Models also receive a read-only source snapshot to map symptoms to implementation. [S14 S15]</w:t>
      </w:r>
    </w:p>
    <w:p>
      <w:pPr>
        <w:snapToGrid w:val="0"/>
      </w:pPr>
      <w:r>
        <w:rPr>
          <w:b w:val="0"/>
          <w:i w:val="0"/>
        </w:rPr>
        <w:t>Tier 1 is gpt-5.6-luna / low with up to 90 seconds. Tier 2 is gpt-5.6-sol / high. The default on-inconclusive policy returns a Tier 1 identified result directly; inconclusive, failed, or timed-out triage is escalated with both the original evidence and triage result. The overall diagnostic job defaults to 300 seconds.</w:t>
      </w:r>
    </w:p>
    <w:p>
      <w:pPr>
        <w:keepNext/>
        <w:spacing w:line="240" w:lineRule="auto"/>
        <w:snapToGrid w:val="0"/>
      </w:pPr>
      <w:r>
        <w:drawing>
          <wp:inline xmlns:a="http://schemas.openxmlformats.org/drawingml/2006/main" xmlns:pic="http://schemas.openxmlformats.org/drawingml/2006/picture">
            <wp:extent cx="6120000" cy="1346400"/>
            <wp:docPr id="9" name="Picture 9" descr="Diagnostic Agent architecture or flow diagram; see adjacent caption and body text"/>
            <wp:cNvGraphicFramePr>
              <a:graphicFrameLocks noChangeAspect="1"/>
            </wp:cNvGraphicFramePr>
            <a:graphic>
              <a:graphicData uri="http://schemas.openxmlformats.org/drawingml/2006/picture">
                <pic:pic>
                  <pic:nvPicPr>
                    <pic:cNvPr id="0" name="en_09.png"/>
                    <pic:cNvPicPr/>
                  </pic:nvPicPr>
                  <pic:blipFill>
                    <a:blip r:embed="rId19"/>
                    <a:stretch>
                      <a:fillRect/>
                    </a:stretch>
                  </pic:blipFill>
                  <pic:spPr>
                    <a:xfrm>
                      <a:off x="0" y="0"/>
                      <a:ext cx="6120000" cy="1346400"/>
                    </a:xfrm>
                    <a:prstGeom prst="rect"/>
                  </pic:spPr>
                </pic:pic>
              </a:graphicData>
            </a:graphic>
          </wp:inline>
        </w:drawing>
      </w:r>
    </w:p>
    <w:p>
      <w:pPr>
        <w:pStyle w:val="Caption"/>
        <w:keepNext w:val="0"/>
        <w:snapToGrid w:val="0"/>
      </w:pPr>
      <w:r>
        <w:rPr>
          <w:b w:val="0"/>
          <w:i w:val="0"/>
        </w:rPr>
        <w:t>Figure 9  Two-tier diagnosis explains evidence without changing business state</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Stage</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Input</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Purpose of output</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Tier 1</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Incident evidence + read-only source</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Quick localization or an honest uncertainty</w:t>
            </w:r>
          </w:p>
        </w:tc>
      </w:tr>
      <w:tr>
        <w:trPr>
          <w:cantSplit/>
        </w:trPr>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Tier 2</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Original evidence + Tier 1 + read-only source</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Deeper verification and actionable human recommendations</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Watcher</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Model result + later health samples</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Records diagnosis and recovery separately</w:t>
            </w:r>
          </w:p>
        </w:tc>
      </w:tr>
    </w:tbl>
    <w:p>
      <w:pPr>
        <w:spacing w:after="20"/>
        <w:snapToGrid w:val="0"/>
      </w:pPr>
    </w:p>
    <w:p>
      <w:pPr>
        <w:pStyle w:val="Heading1"/>
        <w:pageBreakBefore/>
        <w:snapToGrid w:val="0"/>
      </w:pPr>
      <w:r>
        <w:t>10 Agent loop, tools, and permissions</w:t>
      </w:r>
    </w:p>
    <w:p>
      <w:pPr>
        <w:snapToGrid w:val="0"/>
      </w:pPr>
      <w:r>
        <w:rPr>
          <w:b w:val="0"/>
          <w:i w:val="0"/>
        </w:rPr>
        <w:t>The workers use the Codex SDK tool loop. A model decides whether it has enough information, optionally selects read-only commands to list, search, or read allowed source, and then either continues or returns structured JSON. The project does not implement its own step planner or a mandatory tool sequence. [S15]</w:t>
      </w:r>
    </w:p>
    <w:p>
      <w:pPr>
        <w:snapToGrid w:val="0"/>
      </w:pPr>
      <w:r>
        <w:rPr>
          <w:b w:val="0"/>
          <w:i w:val="0"/>
        </w:rPr>
        <w:t>sandboxMode=read-only, approvalPolicy=never, networkAccessEnabled=false, and webSearchMode=disabled. Workers have no Docker socket, AWS profile, or bridge/diagnostic/worker tokens and cannot edit code or configuration. Model inference still needs the model service; that is separate from the command tool's network ban.</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Capability</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Allowed</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Boundary</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Read request evidence</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Yes</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Only filtered incident data</w:t>
            </w:r>
          </w:p>
        </w:tc>
      </w:tr>
      <w:tr>
        <w:trPr>
          <w:cantSplit/>
        </w:trPr>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Search/read source</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Yes</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Read-only snapshot and sandbox</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Run read-only comparisons</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Subject to image tools</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No network or escalation</w:t>
            </w:r>
          </w:p>
        </w:tc>
      </w:tr>
      <w:tr>
        <w:trPr>
          <w:cantSplit/>
        </w:trPr>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Modify/deploy/restart/AWS</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No</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No credentials or interface</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Request recordings/transcripts/credentials</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No</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Explicitly prohibited by shared instructions</w:t>
            </w:r>
          </w:p>
        </w:tc>
      </w:tr>
    </w:tbl>
    <w:p>
      <w:pPr>
        <w:spacing w:after="20"/>
        <w:snapToGrid w:val="0"/>
      </w:pPr>
    </w:p>
    <w:p>
      <w:pPr>
        <w:pStyle w:val="Heading1"/>
        <w:pageBreakBefore/>
        <w:snapToGrid w:val="0"/>
      </w:pPr>
      <w:r>
        <w:t>11 Job API, queue, timeout, and cancellation</w:t>
      </w:r>
    </w:p>
    <w:p>
      <w:pPr>
        <w:snapToGrid w:val="0"/>
      </w:pPr>
      <w:r>
        <w:rPr>
          <w:b w:val="0"/>
          <w:i w:val="0"/>
        </w:rPr>
        <w:t>POST /jobs enqueues idempotently by job ID; GET /jobs/{id} returns status and result; cancel marks queued work cancelled or uses AbortController for running work. GET /health proves only basic service liveness, not that the latest model request can succeed. [S16]</w:t>
      </w:r>
    </w:p>
    <w:p>
      <w:pPr>
        <w:snapToGrid w:val="0"/>
      </w:pPr>
      <w:r>
        <w:rPr>
          <w:b w:val="0"/>
          <w:i w:val="0"/>
        </w:rPr>
        <w:t>Each Jobs instance runs one job at a time. queued + running reaching eight rejects new work, so the limit is eight unfinished jobs—not one running plus eight queued. Queue wait does not count against that instance's execution timer, but it consumes the parent diagnosis deadline.</w:t>
      </w:r>
    </w:p>
    <w:p>
      <w:pPr>
        <w:keepNext/>
        <w:spacing w:line="240" w:lineRule="auto"/>
        <w:snapToGrid w:val="0"/>
      </w:pPr>
      <w:r>
        <w:drawing>
          <wp:inline xmlns:a="http://schemas.openxmlformats.org/drawingml/2006/main" xmlns:pic="http://schemas.openxmlformats.org/drawingml/2006/picture">
            <wp:extent cx="6120000" cy="1346400"/>
            <wp:docPr id="10" name="Picture 10" descr="Diagnostic Agent architecture or flow diagram; see adjacent caption and body text"/>
            <wp:cNvGraphicFramePr>
              <a:graphicFrameLocks noChangeAspect="1"/>
            </wp:cNvGraphicFramePr>
            <a:graphic>
              <a:graphicData uri="http://schemas.openxmlformats.org/drawingml/2006/picture">
                <pic:pic>
                  <pic:nvPicPr>
                    <pic:cNvPr id="0" name="en_10.png"/>
                    <pic:cNvPicPr/>
                  </pic:nvPicPr>
                  <pic:blipFill>
                    <a:blip r:embed="rId20"/>
                    <a:stretch>
                      <a:fillRect/>
                    </a:stretch>
                  </pic:blipFill>
                  <pic:spPr>
                    <a:xfrm>
                      <a:off x="0" y="0"/>
                      <a:ext cx="6120000" cy="1346400"/>
                    </a:xfrm>
                    <a:prstGeom prst="rect"/>
                  </pic:spPr>
                </pic:pic>
              </a:graphicData>
            </a:graphic>
          </wp:inline>
        </w:drawing>
      </w:r>
    </w:p>
    <w:p>
      <w:pPr>
        <w:pStyle w:val="Caption"/>
        <w:keepNext w:val="0"/>
        <w:snapToGrid w:val="0"/>
      </w:pPr>
      <w:r>
        <w:rPr>
          <w:b w:val="0"/>
          <w:i w:val="0"/>
        </w:rPr>
        <w:t>Figure 10  Jobs are persisted before entering the single execution slot</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4819"/>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API/state</w:t>
            </w:r>
          </w:p>
        </w:tc>
        <w:tc>
          <w:tcPr>
            <w:tcW w:type="dxa" w:w="4819"/>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Correct interpretation</w:t>
            </w:r>
          </w:p>
        </w:tc>
      </w:tr>
      <w:tr>
        <w:trPr>
          <w:cantSplit/>
        </w:trPr>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GET /jobs</w:t>
            </w:r>
          </w:p>
        </w:tc>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Returns recent summaries without the original request</w:t>
            </w:r>
          </w:p>
        </w:tc>
      </w:tr>
      <w:tr>
        <w:trPr>
          <w:cantSplit/>
        </w:trPr>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cancel</w:t>
            </w:r>
          </w:p>
        </w:tc>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Parent tries to cancel child; child timeout remains a fallback</w:t>
            </w:r>
          </w:p>
        </w:tc>
      </w:tr>
      <w:tr>
        <w:trPr>
          <w:cantSplit/>
        </w:trPr>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completed</w:t>
            </w:r>
          </w:p>
        </w:tc>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Model job completed; business may still be broken</w:t>
            </w:r>
          </w:p>
        </w:tc>
      </w:tr>
      <w:tr>
        <w:trPr>
          <w:cantSplit/>
        </w:trPr>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429</w:t>
            </w:r>
          </w:p>
        </w:tc>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The eight-unfinished-job capacity is full</w:t>
            </w:r>
          </w:p>
        </w:tc>
      </w:tr>
    </w:tbl>
    <w:p>
      <w:pPr>
        <w:spacing w:after="20"/>
        <w:snapToGrid w:val="0"/>
      </w:pPr>
    </w:p>
    <w:p>
      <w:pPr>
        <w:pStyle w:val="Heading1"/>
        <w:pageBreakBefore/>
        <w:snapToGrid w:val="0"/>
      </w:pPr>
      <w:r>
        <w:t>12 Persistence, idempotency, and restart semantics</w:t>
      </w:r>
    </w:p>
    <w:p>
      <w:pPr>
        <w:snapToGrid w:val="0"/>
      </w:pPr>
      <w:r>
        <w:rPr>
          <w:b w:val="0"/>
          <w:i w:val="0"/>
        </w:rPr>
        <w:t>Watcher state, each job store, host actions, AWS cache, runtime intent, and switch history are persisted in their owning volume or local/host file. Store writes a temporary file, fsyncs, and renames it to reduce partial JSON. Corruption fails loudly rather than silently resetting budgets. [S17]</w:t>
      </w:r>
    </w:p>
    <w:p>
      <w:pPr>
        <w:snapToGrid w:val="0"/>
      </w:pPr>
      <w:r>
        <w:rPr>
          <w:b w:val="0"/>
          <w:i w:val="0"/>
        </w:rPr>
        <w:t>Actions persist reserved before commands. This favors duplicate prevention but does not guarantee exactly once: a crash after persistence may consume budget before a command actually runs. On process restart, running jobs become worker_restarted; queued work may continue, and paid model work already started is not replayed automatically.</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Record</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Contents</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Purpose</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state.json</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incidents, history, recovery budgets</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continuous Watcher decisions</w:t>
            </w:r>
          </w:p>
        </w:tc>
      </w:tr>
      <w:tr>
        <w:trPr>
          <w:cantSplit/>
        </w:trPr>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jobs.json</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request, status, result, usage</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job idempotency and restart handling</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actions.json</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reserved/completed/uncertain</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host action deduplication</w:t>
            </w:r>
          </w:p>
        </w:tc>
      </w:tr>
      <w:tr>
        <w:trPr>
          <w:cantSplit/>
        </w:trPr>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runtime.json</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desired, phase, steps, history</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traceable runtime selection</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AWS cache</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snapshot, tasks, scheduling anomalies</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bounded cloud reads and freshness</w:t>
            </w:r>
          </w:p>
        </w:tc>
      </w:tr>
    </w:tbl>
    <w:p>
      <w:pPr>
        <w:spacing w:after="20"/>
        <w:snapToGrid w:val="0"/>
      </w:pPr>
    </w:p>
    <w:p>
      <w:pPr>
        <w:pStyle w:val="Heading1"/>
        <w:pageBreakBefore/>
        <w:snapToGrid w:val="0"/>
      </w:pPr>
      <w:r>
        <w:t>13 Reports, notifications, and the health report</w:t>
      </w:r>
    </w:p>
    <w:p>
      <w:pPr>
        <w:snapToGrid w:val="0"/>
      </w:pPr>
      <w:r>
        <w:rPr>
          <w:b w:val="0"/>
          <w:i w:val="0"/>
        </w:rPr>
        <w:t>Model output is assessment, summary, evidence, and recommendations. assessment is identified or inconclusive. Validation constrains types, counts, and lengths but does not independently prove every citation. Results also record stage, model, reasoning effort, threadId, usage, and tool success/failure counts. [S18]</w:t>
      </w:r>
    </w:p>
    <w:p>
      <w:pPr>
        <w:snapToGrid w:val="0"/>
      </w:pPr>
      <w:r>
        <w:rPr>
          <w:b w:val="0"/>
          <w:i w:val="0"/>
        </w:rPr>
        <w:t>Notifications contain incident ID, target, symptom code, stage, and action status, plus a pointer to the local report. They do not forward model free text, raw logs, or household conversations. A separate task writes local/health-report every 60 seconds; the page reloads every 30 seconds and marks data older than 180 seconds unknown/attention. It triggers no model, recovery, or notification. [S19 S20]</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Output</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Meaning</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Do not read it as</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identified</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Evidence supports a model diagnosis</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Service recovered</w:t>
            </w:r>
          </w:p>
        </w:tc>
      </w:tr>
      <w:tr>
        <w:trPr>
          <w:cantSplit/>
        </w:trPr>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inconclusive</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Evidence is insufficient or ambiguous</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No fault exists</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Notification accepted</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At least one channel returned success</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The user definitely saw it</w:t>
            </w:r>
          </w:p>
        </w:tc>
      </w:tr>
      <w:tr>
        <w:trPr>
          <w:cantSplit/>
        </w:trPr>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Report stale</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Report generation or host may be stalled</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The business is definitely unhealthy</w:t>
            </w:r>
          </w:p>
        </w:tc>
      </w:tr>
    </w:tbl>
    <w:p>
      <w:pPr>
        <w:spacing w:after="20"/>
        <w:snapToGrid w:val="0"/>
      </w:pPr>
    </w:p>
    <w:p>
      <w:pPr>
        <w:pStyle w:val="Heading1"/>
        <w:pageBreakBefore/>
        <w:snapToGrid w:val="0"/>
      </w:pPr>
      <w:r>
        <w:t>14 Billing scope and refresh cadence</w:t>
      </w:r>
    </w:p>
    <w:p>
      <w:pPr>
        <w:snapToGrid w:val="0"/>
      </w:pPr>
      <w:r>
        <w:rPr>
          <w:b w:val="0"/>
          <w:i w:val="0"/>
        </w:rPr>
        <w:t>OpenAI month-to-date organization cost is read from /v1/organization/costs using an OPENAI_ADMIN_KEY separate from model credentials, no more than every 15 minutes. AWS Cost Explorer supplies month-to-date UnblendedCost, called in us-east-1, no more than every six hours. [S21]</w:t>
      </w:r>
    </w:p>
    <w:p>
      <w:pPr>
        <w:snapToGrid w:val="0"/>
      </w:pPr>
      <w:r>
        <w:rPr>
          <w:b w:val="0"/>
          <w:i w:val="0"/>
        </w:rPr>
        <w:t>The dashboard reads local cache; a page refresh does not query providers again. Credentials are never persisted. Errors are sanitized, and the last successful value may remain visible as stale. These are organization/account totals, not precise attribution to one incident or Diagnostic Agent job.</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2409"/>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Source</w:t>
            </w:r>
          </w:p>
        </w:tc>
        <w:tc>
          <w:tcPr>
            <w:tcW w:type="dxa" w:w="2409"/>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Measure</w:t>
            </w:r>
          </w:p>
        </w:tc>
        <w:tc>
          <w:tcPr>
            <w:tcW w:type="dxa" w:w="2409"/>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Refresh ceiling</w:t>
            </w:r>
          </w:p>
        </w:tc>
        <w:tc>
          <w:tcPr>
            <w:tcW w:type="dxa" w:w="2409"/>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Key limitation</w:t>
            </w:r>
          </w:p>
        </w:tc>
      </w:tr>
      <w:tr>
        <w:trPr>
          <w:cantSplit/>
        </w:trPr>
        <w:tc>
          <w:tcPr>
            <w:tcW w:type="dxa" w:w="240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OpenAI</w:t>
            </w:r>
          </w:p>
        </w:tc>
        <w:tc>
          <w:tcPr>
            <w:tcW w:type="dxa" w:w="240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Organization month-to-date cost</w:t>
            </w:r>
          </w:p>
        </w:tc>
        <w:tc>
          <w:tcPr>
            <w:tcW w:type="dxa" w:w="240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15 minutes</w:t>
            </w:r>
          </w:p>
        </w:tc>
        <w:tc>
          <w:tcPr>
            <w:tcW w:type="dxa" w:w="240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Admin key required; not per-job</w:t>
            </w:r>
          </w:p>
        </w:tc>
      </w:tr>
      <w:tr>
        <w:trPr>
          <w:cantSplit/>
        </w:trPr>
        <w:tc>
          <w:tcPr>
            <w:tcW w:type="dxa" w:w="240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AWS</w:t>
            </w:r>
          </w:p>
        </w:tc>
        <w:tc>
          <w:tcPr>
            <w:tcW w:type="dxa" w:w="240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Account month-to-date UnblendedCost</w:t>
            </w:r>
          </w:p>
        </w:tc>
        <w:tc>
          <w:tcPr>
            <w:tcW w:type="dxa" w:w="240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6 hours</w:t>
            </w:r>
          </w:p>
        </w:tc>
        <w:tc>
          <w:tcPr>
            <w:tcW w:type="dxa" w:w="240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Cost Explorer is delayed and not service-specific</w:t>
            </w:r>
          </w:p>
        </w:tc>
      </w:tr>
      <w:tr>
        <w:trPr>
          <w:cantSplit/>
        </w:trPr>
        <w:tc>
          <w:tcPr>
            <w:tcW w:type="dxa" w:w="240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Dashboard</w:t>
            </w:r>
          </w:p>
        </w:tc>
        <w:tc>
          <w:tcPr>
            <w:tcW w:type="dxa" w:w="240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Last successful local cache</w:t>
            </w:r>
          </w:p>
        </w:tc>
        <w:tc>
          <w:tcPr>
            <w:tcW w:type="dxa" w:w="240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From cache</w:t>
            </w:r>
          </w:p>
        </w:tc>
        <w:tc>
          <w:tcPr>
            <w:tcW w:type="dxa" w:w="240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Read stale values with their timestamp</w:t>
            </w:r>
          </w:p>
        </w:tc>
      </w:tr>
    </w:tbl>
    <w:p>
      <w:pPr>
        <w:spacing w:after="20"/>
        <w:snapToGrid w:val="0"/>
      </w:pPr>
    </w:p>
    <w:p>
      <w:pPr>
        <w:pStyle w:val="Heading1"/>
        <w:pageBreakBefore/>
        <w:snapToGrid w:val="0"/>
      </w:pPr>
      <w:r>
        <w:t>15 Conversations, privacy, and grouping semantics</w:t>
      </w:r>
    </w:p>
    <w:p>
      <w:pPr>
        <w:snapToGrid w:val="0"/>
      </w:pPr>
      <w:r>
        <w:rPr>
          <w:b w:val="0"/>
          <w:i w:val="0"/>
        </w:rPr>
        <w:t>The conversation view merges local assistant-data/transcripts.jsonl and assistant_outputs.jsonl with CloudWatch conversation.user.transcript and conversation.assistant.output events. It never reads WAV files. The UI receives role, time, and text—not raw event IDs, paths, task IDs, or audio metadata. [S22]</w:t>
      </w:r>
    </w:p>
    <w:p>
      <w:pPr>
        <w:snapToGrid w:val="0"/>
      </w:pPr>
      <w:r>
        <w:rPr>
          <w:b w:val="0"/>
          <w:i w:val="0"/>
        </w:rPr>
        <w:t>Local files are checked every 30 seconds. Cloud is polled every five minutes when active and every 30 minutes when inactive. The daily cloud request budget is 600, with two pages per poll and 200 rows per page. Bootstrap covers seven days, overlap is ten minutes, retention is 30 days, storage is capped at 20,000 messages, and the UI shows at most 500 groups.</w:t>
      </w:r>
    </w:p>
    <w:p>
      <w:pPr>
        <w:snapToGrid w:val="0"/>
      </w:pPr>
      <w:r>
        <w:rPr>
          <w:b w:val="0"/>
          <w:i w:val="0"/>
        </w:rPr>
        <w:t>The implementation deduplicates, joins chunks, tolerates partial or malformed lines, paginates, and backs off. Grouping is for reading, not strict causal pairing. Conversation text is not automatically added to model evidence.</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4819"/>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Boundary</w:t>
            </w:r>
          </w:p>
        </w:tc>
        <w:tc>
          <w:tcPr>
            <w:tcW w:type="dxa" w:w="4819"/>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Current behavior</w:t>
            </w:r>
          </w:p>
        </w:tc>
      </w:tr>
      <w:tr>
        <w:trPr>
          <w:cantSplit/>
        </w:trPr>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Collected</w:t>
            </w:r>
          </w:p>
        </w:tc>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User transcript and assistant output text</w:t>
            </w:r>
          </w:p>
        </w:tc>
      </w:tr>
      <w:tr>
        <w:trPr>
          <w:cantSplit/>
        </w:trPr>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Explicitly excluded</w:t>
            </w:r>
          </w:p>
        </w:tc>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WAV, raw event IDs, internal paths, task IDs, audio metadata</w:t>
            </w:r>
          </w:p>
        </w:tc>
      </w:tr>
      <w:tr>
        <w:trPr>
          <w:cantSplit/>
        </w:trPr>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Diagnostic models</w:t>
            </w:r>
          </w:p>
        </w:tc>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Conversation list is not automatically placed in incident evidence</w:t>
            </w:r>
          </w:p>
        </w:tc>
      </w:tr>
      <w:tr>
        <w:trPr>
          <w:cantSplit/>
        </w:trPr>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Grouping</w:t>
            </w:r>
          </w:p>
        </w:tc>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Reading convenience, not strict request-response causality</w:t>
            </w:r>
          </w:p>
        </w:tc>
      </w:tr>
    </w:tbl>
    <w:p>
      <w:pPr>
        <w:spacing w:after="20"/>
        <w:snapToGrid w:val="0"/>
      </w:pPr>
    </w:p>
    <w:p>
      <w:pPr>
        <w:pStyle w:val="Heading1"/>
        <w:pageBreakBefore/>
        <w:snapToGrid w:val="0"/>
      </w:pPr>
      <w:r>
        <w:t>16 Deployment and credential separation</w:t>
      </w:r>
    </w:p>
    <w:p>
      <w:pPr>
        <w:snapToGrid w:val="0"/>
      </w:pPr>
      <w:r>
        <w:rPr>
          <w:b w:val="0"/>
          <w:i w:val="0"/>
        </w:rPr>
        <w:t>The four diagnostic containers use non-root users, read-only root filesystems, cap_drop ALL, no-new-privileges, resource limits, and dedicated writable volumes. Read-only root does not mean zero writes; jobs and Watcher state persist in their own volumes. [S02]</w:t>
      </w:r>
    </w:p>
    <w:p>
      <w:pPr>
        <w:snapToGrid w:val="0"/>
      </w:pPr>
      <w:r>
        <w:rPr>
          <w:b w:val="0"/>
          <w:i w:val="0"/>
        </w:rPr>
        <w:t>Diagnostic read identity, runtime-control identity, and incident-recovery identity are separate. allowRuntimeControl must be explicit. The runtime controller validates AWS account/root identity, Fargate launch type, complete service information, and suspended Application Auto Scaling. aws-cli allows only constrained operations and removes OPENAI_ADMIN_KEY from child environments. [S04 S23]</w:t>
      </w:r>
    </w:p>
    <w:p>
      <w:pPr>
        <w:snapToGrid w:val="0"/>
      </w:pPr>
      <w:r>
        <w:rPr>
          <w:b w:val="0"/>
          <w:i w:val="0"/>
        </w:rPr>
        <w:t>Cloud shutdown uses update-service desired-count 0, never StopTask as a substitute for a durable stop. Control is refused while autoscaling can override desired count.</w:t>
      </w:r>
    </w:p>
    <w:p>
      <w:pPr>
        <w:keepNext/>
        <w:spacing w:line="240" w:lineRule="auto"/>
        <w:snapToGrid w:val="0"/>
      </w:pPr>
      <w:r>
        <w:drawing>
          <wp:inline xmlns:a="http://schemas.openxmlformats.org/drawingml/2006/main" xmlns:pic="http://schemas.openxmlformats.org/drawingml/2006/picture">
            <wp:extent cx="6120000" cy="1346400"/>
            <wp:docPr id="11" name="Picture 11" descr="Diagnostic Agent architecture or flow diagram; see adjacent caption and body text"/>
            <wp:cNvGraphicFramePr>
              <a:graphicFrameLocks noChangeAspect="1"/>
            </wp:cNvGraphicFramePr>
            <a:graphic>
              <a:graphicData uri="http://schemas.openxmlformats.org/drawingml/2006/picture">
                <pic:pic>
                  <pic:nvPicPr>
                    <pic:cNvPr id="0" name="en_11.png"/>
                    <pic:cNvPicPr/>
                  </pic:nvPicPr>
                  <pic:blipFill>
                    <a:blip r:embed="rId21"/>
                    <a:stretch>
                      <a:fillRect/>
                    </a:stretch>
                  </pic:blipFill>
                  <pic:spPr>
                    <a:xfrm>
                      <a:off x="0" y="0"/>
                      <a:ext cx="6120000" cy="1346400"/>
                    </a:xfrm>
                    <a:prstGeom prst="rect"/>
                  </pic:spPr>
                </pic:pic>
              </a:graphicData>
            </a:graphic>
          </wp:inline>
        </w:drawing>
      </w:r>
    </w:p>
    <w:p>
      <w:pPr>
        <w:pStyle w:val="Caption"/>
        <w:keepNext w:val="0"/>
        <w:snapToGrid w:val="0"/>
      </w:pPr>
      <w:r>
        <w:rPr>
          <w:b w:val="0"/>
          <w:i w:val="0"/>
        </w:rPr>
        <w:t>Figure 11  Read, runtime switching, incident recovery, and model analysis have separate privilege boundaries</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4819"/>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Boundary</w:t>
            </w:r>
          </w:p>
        </w:tc>
        <w:tc>
          <w:tcPr>
            <w:tcW w:type="dxa" w:w="4819"/>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Protection</w:t>
            </w:r>
          </w:p>
        </w:tc>
      </w:tr>
      <w:tr>
        <w:trPr>
          <w:cantSplit/>
        </w:trPr>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Browser</w:t>
            </w:r>
          </w:p>
        </w:tc>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loopback, Host validation, same origin, CSRF</w:t>
            </w:r>
          </w:p>
        </w:tc>
      </w:tr>
      <w:tr>
        <w:trPr>
          <w:cantSplit/>
        </w:trPr>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Host Bridge</w:t>
            </w:r>
          </w:p>
        </w:tc>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fixed parameters and target allowlist; no arbitrary shell</w:t>
            </w:r>
          </w:p>
        </w:tc>
      </w:tr>
      <w:tr>
        <w:trPr>
          <w:cantSplit/>
        </w:trPr>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AWS CLI</w:t>
            </w:r>
          </w:p>
        </w:tc>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operation/argument allowlist plus identity and service constraints</w:t>
            </w:r>
          </w:p>
        </w:tc>
      </w:tr>
      <w:tr>
        <w:trPr>
          <w:cantSplit/>
        </w:trPr>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Model</w:t>
            </w:r>
          </w:p>
        </w:tc>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no operation tokens, AWS profile, Docker socket, or tool network</w:t>
            </w:r>
          </w:p>
        </w:tc>
      </w:tr>
    </w:tbl>
    <w:p>
      <w:pPr>
        <w:spacing w:after="20"/>
        <w:snapToGrid w:val="0"/>
      </w:pPr>
    </w:p>
    <w:p>
      <w:pPr>
        <w:pStyle w:val="Heading1"/>
        <w:pageBreakBefore/>
        <w:snapToGrid w:val="0"/>
      </w:pPr>
      <w:r>
        <w:t>17 Verified scope</w:t>
      </w:r>
    </w:p>
    <w:p>
      <w:pPr>
        <w:snapToGrid w:val="0"/>
      </w:pPr>
      <w:r>
        <w:rPr>
          <w:b w:val="0"/>
          <w:i w:val="0"/>
        </w:rPr>
        <w:t>The current npm test run completed 109 tests: 109 passed, 0 failed, 0 skipped. Coverage includes AWS evidence and command constraints, billing, conversation merging, environment selection, health reporting, diagnostic pipeline, runtime control, and system state. Tests rely mainly on fixtures and doubles; they do not prove current live cloud health.</w:t>
      </w:r>
    </w:p>
    <w:p>
      <w:pPr>
        <w:snapToGrid w:val="0"/>
      </w:pPr>
      <w:r>
        <w:rPr>
          <w:b w:val="0"/>
          <w:i w:val="0"/>
        </w:rPr>
        <w:t>Historical repository validation also records real Docker fixture recovery, synthetic two-tier Codex calls, sandbox read/write/network boundaries, and AWS read-only collection. A synthetic diagnosis is not a production incident, and an unexecuted live cloud replacement cannot be described as verified. [S24]</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Validation</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Result</w:t>
            </w:r>
          </w:p>
        </w:tc>
        <w:tc>
          <w:tcPr>
            <w:tcW w:type="dxa" w:w="3213"/>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Boundary</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Current automated tests</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109/109 passed</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Mostly offline and test-double based</w:t>
            </w:r>
          </w:p>
        </w:tc>
      </w:tr>
      <w:tr>
        <w:trPr>
          <w:cantSplit/>
        </w:trPr>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Runtime state machine</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Success, failure, queued stop, and automatic restore paths</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Not a live switch performed for this document</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Billing/conversations</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Cache, sanitization, budget, and deduplication paths</w:t>
            </w:r>
          </w:p>
        </w:tc>
        <w:tc>
          <w:tcPr>
            <w:tcW w:type="dxa" w:w="32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Provider data remains externally delayed</w:t>
            </w:r>
          </w:p>
        </w:tc>
      </w:tr>
      <w:tr>
        <w:trPr>
          <w:cantSplit/>
        </w:trPr>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Models/permissions</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Historical synthetic calls and sandbox checks</w:t>
            </w:r>
          </w:p>
        </w:tc>
        <w:tc>
          <w:tcPr>
            <w:tcW w:type="dxa" w:w="3213"/>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Does not guarantee every external model request succeeds</w:t>
            </w:r>
          </w:p>
        </w:tc>
      </w:tr>
    </w:tbl>
    <w:p>
      <w:pPr>
        <w:spacing w:after="20"/>
        <w:snapToGrid w:val="0"/>
      </w:pPr>
    </w:p>
    <w:p>
      <w:pPr>
        <w:pStyle w:val="Heading1"/>
        <w:pageBreakBefore/>
        <w:snapToGrid w:val="0"/>
      </w:pPr>
      <w:r>
        <w:t>18 Current limitations and how to read results</w:t>
      </w:r>
    </w:p>
    <w:p>
      <w:pPr>
        <w:snapToGrid w:val="0"/>
      </w:pPr>
      <w:r>
        <w:rPr>
          <w:b w:val="0"/>
          <w:i w:val="0"/>
        </w:rPr>
        <w:t>The business may run in AWS, but diagnostics, dashboard, and local notifications still depend on this Windows host. Health coverage is not a complete robot end-to-end acceptance test: local Engine is mostly process-level, HA mostly HTTP-level, and speaker, motion, and every control action are not uniformly verified.</w:t>
      </w:r>
    </w:p>
    <w:p>
      <w:pPr>
        <w:snapToGrid w:val="0"/>
      </w:pPr>
      <w:r>
        <w:rPr>
          <w:b w:val="0"/>
          <w:i w:val="0"/>
        </w:rPr>
        <w:t>The source snapshot may lag deployment. Models cannot acquire new online evidence. Forensics are bounded by time windows, pagination, and an event vocabulary. Tool audit primarily counts successes and failures and does not verify every source citation. Billing is account/organization scope, while transcript text is sensitive local data.</w:t>
      </w:r>
    </w:p>
    <w:p>
      <w:pPr>
        <w:snapToGrid w:val="0"/>
      </w:pPr>
      <w:r>
        <w:rPr>
          <w:b w:val="0"/>
          <w:i w:val="0"/>
        </w:rPr>
        <w:t>Guardian behavior must be read with current code and configuration; observe mode is not an unlimited cross-process guarantee of zero local prompts. The safest approach is to treat runtime state, real health, incident state, model assessment, and notification status as five independent dimensions.</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4819"/>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Dimension</w:t>
            </w:r>
          </w:p>
        </w:tc>
        <w:tc>
          <w:tcPr>
            <w:tcW w:type="dxa" w:w="4819"/>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Question</w:t>
            </w:r>
          </w:p>
        </w:tc>
      </w:tr>
      <w:tr>
        <w:trPr>
          <w:cantSplit/>
        </w:trPr>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Runtime</w:t>
            </w:r>
          </w:p>
        </w:tc>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Where should the business run, and where is it actually running?</w:t>
            </w:r>
          </w:p>
        </w:tc>
      </w:tr>
      <w:tr>
        <w:trPr>
          <w:cantSplit/>
        </w:trPr>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Health</w:t>
            </w:r>
          </w:p>
        </w:tc>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Do fresh allowlisted capabilities remain healthy?</w:t>
            </w:r>
          </w:p>
        </w:tc>
      </w:tr>
      <w:tr>
        <w:trPr>
          <w:cantSplit/>
        </w:trPr>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Incident</w:t>
            </w:r>
          </w:p>
        </w:tc>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pending, recovering, diagnosing, unresolved, or closed?</w:t>
            </w:r>
          </w:p>
        </w:tc>
      </w:tr>
      <w:tr>
        <w:trPr>
          <w:cantSplit/>
        </w:trPr>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Model assessment</w:t>
            </w:r>
          </w:p>
        </w:tc>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identified/inconclusive, and based on what evidence?</w:t>
            </w:r>
          </w:p>
        </w:tc>
      </w:tr>
      <w:tr>
        <w:trPr>
          <w:cantSplit/>
        </w:trPr>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Notification</w:t>
            </w:r>
          </w:p>
        </w:tc>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Did a channel accept the message, not whether it was read?</w:t>
            </w:r>
          </w:p>
        </w:tc>
      </w:tr>
    </w:tbl>
    <w:p>
      <w:pPr>
        <w:spacing w:after="20"/>
        <w:snapToGrid w:val="0"/>
      </w:pPr>
    </w:p>
    <w:p>
      <w:pPr>
        <w:pStyle w:val="Heading1"/>
        <w:pageBreakBefore/>
        <w:snapToGrid w:val="0"/>
      </w:pPr>
      <w:r>
        <w:t>19 Routine operation</w:t>
      </w:r>
    </w:p>
    <w:p>
      <w:pPr>
        <w:snapToGrid w:val="0"/>
      </w:pPr>
      <w:r>
        <w:rPr>
          <w:b w:val="0"/>
          <w:i w:val="0"/>
        </w:rPr>
        <w:t>The recommended entry point is the local dashboard. PowerShell commands remain for status, reports, pause/resume, reload, and sampling changes. A runtime switch really starts and stops cloud or local business, so it should be used with that impact in mind. [S25]</w:t>
      </w:r>
    </w:p>
    <w:p>
      <w:pPr>
        <w:snapToGrid w:val="0"/>
      </w:pPr>
      <w:r>
        <w:rPr>
          <w:b w:val="0"/>
          <w:i w:val="0"/>
        </w:rPr>
        <w:t>This documentation update did not switch runtime environment, restart business services, create a paid model diagnosis, or query live provider billing. It read code/configuration and ran the offline test suite.</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4819"/>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Entry point</w:t>
            </w:r>
          </w:p>
        </w:tc>
        <w:tc>
          <w:tcPr>
            <w:tcW w:type="dxa" w:w="4819"/>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Purpose</w:t>
            </w:r>
          </w:p>
        </w:tc>
      </w:tr>
      <w:tr>
        <w:trPr>
          <w:cantSplit/>
        </w:trPr>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http://127.0.0.1:8179</w:t>
            </w:r>
          </w:p>
        </w:tc>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Runtime switching, health, incidents, billing, conversations, full report</w:t>
            </w:r>
          </w:p>
        </w:tc>
      </w:tr>
      <w:tr>
        <w:trPr>
          <w:cantSplit/>
        </w:trPr>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diagnostics.ps1 status</w:t>
            </w:r>
          </w:p>
        </w:tc>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Current environment, active targets, containers, and incidents</w:t>
            </w:r>
          </w:p>
        </w:tc>
      </w:tr>
      <w:tr>
        <w:trPr>
          <w:cantSplit/>
        </w:trPr>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diagnostics.ps1 reports</w:t>
            </w:r>
          </w:p>
        </w:tc>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Recent diagnostic jobs</w:t>
            </w:r>
          </w:p>
        </w:tc>
      </w:tr>
      <w:tr>
        <w:trPr>
          <w:cantSplit/>
        </w:trPr>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diagnostics.ps1 report -Id &lt;id&gt;</w:t>
            </w:r>
          </w:p>
        </w:tc>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One model report</w:t>
            </w:r>
          </w:p>
        </w:tc>
      </w:tr>
      <w:tr>
        <w:trPr>
          <w:cantSplit/>
        </w:trPr>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diagnostics.ps1 pause / resume</w:t>
            </w:r>
          </w:p>
        </w:tc>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Observe or return to active mode</w:t>
            </w:r>
          </w:p>
        </w:tc>
      </w:tr>
      <w:tr>
        <w:trPr>
          <w:cantSplit/>
        </w:trPr>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diagnostics.ps1 reload</w:t>
            </w:r>
          </w:p>
        </w:tc>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Reload operations services after configuration changes</w:t>
            </w:r>
          </w:p>
        </w:tc>
      </w:tr>
    </w:tbl>
    <w:p>
      <w:pPr>
        <w:spacing w:after="20"/>
        <w:snapToGrid w:val="0"/>
      </w:pPr>
    </w:p>
    <w:p>
      <w:pPr>
        <w:pStyle w:val="Heading1"/>
        <w:pageBreakBefore/>
        <w:snapToGrid w:val="0"/>
      </w:pPr>
      <w:r>
        <w:t>20 Glossary and final reading checklist</w:t>
      </w:r>
    </w:p>
    <w:p>
      <w:pPr>
        <w:snapToGrid w:val="0"/>
      </w:pPr>
      <w:r>
        <w:rPr>
          <w:b w:val="0"/>
          <w:i w:val="0"/>
        </w:rPr>
        <w:t>One page may show desired=aws, actual=starting, incident=diagnosing, assessment=identified, and notification=sent at the same time. These are not contradictions; they are different layers of state. First confirm runtime transition stability, then evidence freshness, then read the incident and model report.</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4819"/>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Term</w:t>
            </w:r>
          </w:p>
        </w:tc>
        <w:tc>
          <w:tcPr>
            <w:tcW w:type="dxa" w:w="4819"/>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Plain meaning</w:t>
            </w:r>
          </w:p>
        </w:tc>
      </w:tr>
      <w:tr>
        <w:trPr>
          <w:cantSplit/>
        </w:trPr>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desired / actual</w:t>
            </w:r>
          </w:p>
        </w:tc>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Requested runtime location / observed runtime location</w:t>
            </w:r>
          </w:p>
        </w:tc>
      </w:tr>
      <w:tr>
        <w:trPr>
          <w:cantSplit/>
        </w:trPr>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Probe / Sample / Evidence</w:t>
            </w:r>
          </w:p>
        </w:tc>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How state is read / one reading / the diagnostic package</w:t>
            </w:r>
          </w:p>
        </w:tc>
      </w:tr>
      <w:tr>
        <w:trPr>
          <w:cantSplit/>
        </w:trPr>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Incident / Job</w:t>
            </w:r>
          </w:p>
        </w:tc>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 sustained service fault / one bounded model task</w:t>
            </w:r>
          </w:p>
        </w:tc>
      </w:tr>
      <w:tr>
        <w:trPr>
          <w:cantSplit/>
        </w:trPr>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Grace / Suppressed</w:t>
            </w:r>
          </w:p>
        </w:tc>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Waiting for startup or self-healing / maintenance, stop, or transition</w:t>
            </w:r>
          </w:p>
        </w:tc>
      </w:tr>
      <w:tr>
        <w:trPr>
          <w:cantSplit/>
        </w:trPr>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Identified / Recovered</w:t>
            </w:r>
          </w:p>
        </w:tc>
        <w:tc>
          <w:tcPr>
            <w:tcW w:type="dxa" w:w="48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Model believes cause is identified / Watcher verified real health</w:t>
            </w:r>
          </w:p>
        </w:tc>
      </w:tr>
      <w:tr>
        <w:trPr>
          <w:cantSplit/>
        </w:trPr>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Stale</w:t>
            </w:r>
          </w:p>
        </w:tc>
        <w:tc>
          <w:tcPr>
            <w:tcW w:type="dxa" w:w="4819"/>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Cached value is displayable but older than its trust window</w:t>
            </w:r>
          </w:p>
        </w:tc>
      </w:tr>
    </w:tbl>
    <w:p>
      <w:pPr>
        <w:spacing w:after="20"/>
        <w:snapToGrid w:val="0"/>
      </w:pPr>
    </w:p>
    <w:p>
      <w:pPr>
        <w:pStyle w:val="Heading1"/>
        <w:pageBreakBefore/>
        <w:snapToGrid w:val="0"/>
      </w:pPr>
      <w:r>
        <w:t>Implementation source index (1/2)</w:t>
      </w:r>
    </w:p>
    <w:p>
      <w:pPr>
        <w:snapToGrid w:val="0"/>
      </w:pPr>
      <w:r>
        <w:rPr>
          <w:b w:val="0"/>
          <w:i w:val="0"/>
        </w:rPr>
        <w:t>[Sxx] references in the body map to the files below. Paths are relative to ebo-ai-home and line numbers come from this workspace. After source changes, search for the named symbol rather than relying only on the line number.</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680"/>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ID</w:t>
            </w:r>
          </w:p>
        </w:tc>
        <w:tc>
          <w:tcPr>
            <w:tcW w:type="dxa" w:w="4592"/>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File and line</w:t>
            </w:r>
          </w:p>
        </w:tc>
        <w:tc>
          <w:tcPr>
            <w:tcW w:type="dxa" w:w="4365"/>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Purpose</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S01</w:t>
            </w:r>
          </w:p>
        </w:tc>
        <w:tc>
          <w:tcPr>
            <w:tcW w:type="dxa" w:w="4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ops/diagnostics/src/watcher.mjs:18</w:t>
            </w:r>
          </w:p>
        </w:tc>
        <w:tc>
          <w:tcPr>
            <w:tcW w:type="dxa" w:w="43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Watcher entry point and main loop</w:t>
            </w:r>
          </w:p>
        </w:tc>
      </w:tr>
      <w:tr>
        <w:trPr>
          <w:cantSplit/>
        </w:trPr>
        <w:tc>
          <w:tcPr>
            <w:tcW w:type="dxa" w:w="680"/>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S02</w:t>
            </w:r>
          </w:p>
        </w:tc>
        <w:tc>
          <w:tcPr>
            <w:tcW w:type="dxa" w:w="4592"/>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ops/diagnostics/compose.yaml:16</w:t>
            </w:r>
          </w:p>
        </w:tc>
        <w:tc>
          <w:tcPr>
            <w:tcW w:type="dxa" w:w="4365"/>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containers, networks, volumes, and model defaults</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S03</w:t>
            </w:r>
          </w:p>
        </w:tc>
        <w:tc>
          <w:tcPr>
            <w:tcW w:type="dxa" w:w="4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ops/diagnostics/src/runtime.mjs:28</w:t>
            </w:r>
          </w:p>
        </w:tc>
        <w:tc>
          <w:tcPr>
            <w:tcW w:type="dxa" w:w="43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runtime intent, serialization, history, and automatic restoration</w:t>
            </w:r>
          </w:p>
        </w:tc>
      </w:tr>
      <w:tr>
        <w:trPr>
          <w:cantSplit/>
        </w:trPr>
        <w:tc>
          <w:tcPr>
            <w:tcW w:type="dxa" w:w="680"/>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S04</w:t>
            </w:r>
          </w:p>
        </w:tc>
        <w:tc>
          <w:tcPr>
            <w:tcW w:type="dxa" w:w="4592"/>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ops/diagnostics/src/runtime-io.mjs:8</w:t>
            </w:r>
          </w:p>
        </w:tc>
        <w:tc>
          <w:tcPr>
            <w:tcW w:type="dxa" w:w="4365"/>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local/cloud stop, start, and capability verification</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S05</w:t>
            </w:r>
          </w:p>
        </w:tc>
        <w:tc>
          <w:tcPr>
            <w:tcW w:type="dxa" w:w="4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ops/diagnostics/src/dashboard.mjs:8</w:t>
            </w:r>
          </w:p>
        </w:tc>
        <w:tc>
          <w:tcPr>
            <w:tcW w:type="dxa" w:w="43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bilingual dashboard data and loopback control endpoints</w:t>
            </w:r>
          </w:p>
        </w:tc>
      </w:tr>
      <w:tr>
        <w:trPr>
          <w:cantSplit/>
        </w:trPr>
        <w:tc>
          <w:tcPr>
            <w:tcW w:type="dxa" w:w="680"/>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S06</w:t>
            </w:r>
          </w:p>
        </w:tc>
        <w:tc>
          <w:tcPr>
            <w:tcW w:type="dxa" w:w="4592"/>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ops/diagnostics/src/aws-ecs.mjs:24</w:t>
            </w:r>
          </w:p>
        </w:tc>
        <w:tc>
          <w:tcPr>
            <w:tcW w:type="dxa" w:w="4365"/>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ECS and CloudWatch evidence acquisition</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S07</w:t>
            </w:r>
          </w:p>
        </w:tc>
        <w:tc>
          <w:tcPr>
            <w:tcW w:type="dxa" w:w="4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ops/diagnostics/src/aws-health.mjs:10</w:t>
            </w:r>
          </w:p>
        </w:tc>
        <w:tc>
          <w:tcPr>
            <w:tcW w:type="dxa" w:w="43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cloud reliability, readiness, and capability classification</w:t>
            </w:r>
          </w:p>
        </w:tc>
      </w:tr>
      <w:tr>
        <w:trPr>
          <w:cantSplit/>
        </w:trPr>
        <w:tc>
          <w:tcPr>
            <w:tcW w:type="dxa" w:w="680"/>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S08</w:t>
            </w:r>
          </w:p>
        </w:tc>
        <w:tc>
          <w:tcPr>
            <w:tcW w:type="dxa" w:w="4592"/>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ha-enabot/ebo/audio_health.py:6</w:t>
            </w:r>
          </w:p>
        </w:tc>
        <w:tc>
          <w:tcPr>
            <w:tcW w:type="dxa" w:w="4365"/>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audio packet and PCM health fields</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S09</w:t>
            </w:r>
          </w:p>
        </w:tc>
        <w:tc>
          <w:tcPr>
            <w:tcW w:type="dxa" w:w="4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ha-enabot/ebo/ebo_bridge.py:419</w:t>
            </w:r>
          </w:p>
        </w:tc>
        <w:tc>
          <w:tcPr>
            <w:tcW w:type="dxa" w:w="43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bounded source recovery after RTC rejoin</w:t>
            </w:r>
          </w:p>
        </w:tc>
      </w:tr>
      <w:tr>
        <w:trPr>
          <w:cantSplit/>
        </w:trPr>
        <w:tc>
          <w:tcPr>
            <w:tcW w:type="dxa" w:w="680"/>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S10</w:t>
            </w:r>
          </w:p>
        </w:tc>
        <w:tc>
          <w:tcPr>
            <w:tcW w:type="dxa" w:w="4592"/>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ops/diagnostics/src/probes.mjs:9</w:t>
            </w:r>
          </w:p>
        </w:tc>
        <w:tc>
          <w:tcPr>
            <w:tcW w:type="dxa" w:w="4365"/>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allowlisted health evidence and local classification</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S11</w:t>
            </w:r>
          </w:p>
        </w:tc>
        <w:tc>
          <w:tcPr>
            <w:tcW w:type="dxa" w:w="4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ops/diagnostics/src/controller.mjs:12</w:t>
            </w:r>
          </w:p>
        </w:tc>
        <w:tc>
          <w:tcPr>
            <w:tcW w:type="dxa" w:w="43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per-target incident state machine</w:t>
            </w:r>
          </w:p>
        </w:tc>
      </w:tr>
      <w:tr>
        <w:trPr>
          <w:cantSplit/>
        </w:trPr>
        <w:tc>
          <w:tcPr>
            <w:tcW w:type="dxa" w:w="680"/>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S12</w:t>
            </w:r>
          </w:p>
        </w:tc>
        <w:tc>
          <w:tcPr>
            <w:tcW w:type="dxa" w:w="4592"/>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ops/diagnostics/src/bridge.mjs:4</w:t>
            </w:r>
          </w:p>
        </w:tc>
        <w:tc>
          <w:tcPr>
            <w:tcW w:type="dxa" w:w="4365"/>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bounded, idempotent recovery and guardian</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S13</w:t>
            </w:r>
          </w:p>
        </w:tc>
        <w:tc>
          <w:tcPr>
            <w:tcW w:type="dxa" w:w="4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ops/diagnostics/src/aws-cli.mjs:18</w:t>
            </w:r>
          </w:p>
        </w:tc>
        <w:tc>
          <w:tcPr>
            <w:tcW w:type="dxa" w:w="43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AWS operation and argument allowlist</w:t>
            </w:r>
          </w:p>
        </w:tc>
      </w:tr>
    </w:tbl>
    <w:p>
      <w:pPr>
        <w:spacing w:after="20"/>
        <w:snapToGrid w:val="0"/>
      </w:pPr>
    </w:p>
    <w:p>
      <w:pPr>
        <w:pStyle w:val="Heading1"/>
        <w:pageBreakBefore/>
        <w:snapToGrid w:val="0"/>
      </w:pPr>
      <w:r>
        <w:t>Implementation source index (2/2)</w:t>
      </w:r>
    </w:p>
    <w:p>
      <w:pPr>
        <w:snapToGrid w:val="0"/>
      </w:pPr>
      <w:r>
        <w:rPr>
          <w:b w:val="0"/>
          <w:i w:val="0"/>
        </w:rPr>
        <w:t>[Sxx] references in the body map to the files below. Paths are relative to ebo-ai-home and line numbers come from this workspace. After source changes, search for the named symbol rather than relying only on the line number.</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680"/>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ID</w:t>
            </w:r>
          </w:p>
        </w:tc>
        <w:tc>
          <w:tcPr>
            <w:tcW w:type="dxa" w:w="4592"/>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File and line</w:t>
            </w:r>
          </w:p>
        </w:tc>
        <w:tc>
          <w:tcPr>
            <w:tcW w:type="dxa" w:w="4365"/>
            <w:vAlign w:val="center"/>
            <w:shd w:fill="26475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color w:val="FFFFFF"/>
                <w:sz w:val="17"/>
              </w:rPr>
              <w:t>Purpose</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S14</w:t>
            </w:r>
          </w:p>
        </w:tc>
        <w:tc>
          <w:tcPr>
            <w:tcW w:type="dxa" w:w="4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ops/diagnostics/src/pipeline.mjs:14</w:t>
            </w:r>
          </w:p>
        </w:tc>
        <w:tc>
          <w:tcPr>
            <w:tcW w:type="dxa" w:w="43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Tier 1 budget and Tier 2 escalation</w:t>
            </w:r>
          </w:p>
        </w:tc>
      </w:tr>
      <w:tr>
        <w:trPr>
          <w:cantSplit/>
        </w:trPr>
        <w:tc>
          <w:tcPr>
            <w:tcW w:type="dxa" w:w="680"/>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S15</w:t>
            </w:r>
          </w:p>
        </w:tc>
        <w:tc>
          <w:tcPr>
            <w:tcW w:type="dxa" w:w="4592"/>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ops/diagnostics/src/codex-worker.mjs:24</w:t>
            </w:r>
          </w:p>
        </w:tc>
        <w:tc>
          <w:tcPr>
            <w:tcW w:type="dxa" w:w="4365"/>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Codex SDK options, tool loop, and sandbox</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S16</w:t>
            </w:r>
          </w:p>
        </w:tc>
        <w:tc>
          <w:tcPr>
            <w:tcW w:type="dxa" w:w="4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ops/diagnostics/src/jobs.mjs:3</w:t>
            </w:r>
          </w:p>
        </w:tc>
        <w:tc>
          <w:tcPr>
            <w:tcW w:type="dxa" w:w="43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queue, capacity, timeout, cancellation, and restart handling</w:t>
            </w:r>
          </w:p>
        </w:tc>
      </w:tr>
      <w:tr>
        <w:trPr>
          <w:cantSplit/>
        </w:trPr>
        <w:tc>
          <w:tcPr>
            <w:tcW w:type="dxa" w:w="680"/>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S17</w:t>
            </w:r>
          </w:p>
        </w:tc>
        <w:tc>
          <w:tcPr>
            <w:tcW w:type="dxa" w:w="4592"/>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ops/diagnostics/src/common.mjs:39</w:t>
            </w:r>
          </w:p>
        </w:tc>
        <w:tc>
          <w:tcPr>
            <w:tcW w:type="dxa" w:w="4365"/>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atomic persistence and HTTP limits</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S18</w:t>
            </w:r>
          </w:p>
        </w:tc>
        <w:tc>
          <w:tcPr>
            <w:tcW w:type="dxa" w:w="4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ops/diagnostics/src/providers.mjs:3</w:t>
            </w:r>
          </w:p>
        </w:tc>
        <w:tc>
          <w:tcPr>
            <w:tcW w:type="dxa" w:w="43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diagnostic schema and shared model instructions</w:t>
            </w:r>
          </w:p>
        </w:tc>
      </w:tr>
      <w:tr>
        <w:trPr>
          <w:cantSplit/>
        </w:trPr>
        <w:tc>
          <w:tcPr>
            <w:tcW w:type="dxa" w:w="680"/>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S19</w:t>
            </w:r>
          </w:p>
        </w:tc>
        <w:tc>
          <w:tcPr>
            <w:tcW w:type="dxa" w:w="4592"/>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ops/diagnostics/src/notifications.mjs:3</w:t>
            </w:r>
          </w:p>
        </w:tc>
        <w:tc>
          <w:tcPr>
            <w:tcW w:type="dxa" w:w="4365"/>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notification content and delivery semantics</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S20</w:t>
            </w:r>
          </w:p>
        </w:tc>
        <w:tc>
          <w:tcPr>
            <w:tcW w:type="dxa" w:w="4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ops/diagnostics/src/health-report.mjs:4</w:t>
            </w:r>
          </w:p>
        </w:tc>
        <w:tc>
          <w:tcPr>
            <w:tcW w:type="dxa" w:w="43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durable health report generation</w:t>
            </w:r>
          </w:p>
        </w:tc>
      </w:tr>
      <w:tr>
        <w:trPr>
          <w:cantSplit/>
        </w:trPr>
        <w:tc>
          <w:tcPr>
            <w:tcW w:type="dxa" w:w="680"/>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S21</w:t>
            </w:r>
          </w:p>
        </w:tc>
        <w:tc>
          <w:tcPr>
            <w:tcW w:type="dxa" w:w="4592"/>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ops/diagnostics/src/billing.mjs:94</w:t>
            </w:r>
          </w:p>
        </w:tc>
        <w:tc>
          <w:tcPr>
            <w:tcW w:type="dxa" w:w="4365"/>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OpenAI and AWS billing cache</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S22</w:t>
            </w:r>
          </w:p>
        </w:tc>
        <w:tc>
          <w:tcPr>
            <w:tcW w:type="dxa" w:w="4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ops/diagnostics/src/conversations.mjs:68</w:t>
            </w:r>
          </w:p>
        </w:tc>
        <w:tc>
          <w:tcPr>
            <w:tcW w:type="dxa" w:w="43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local/cloud transcript merge and privacy fields</w:t>
            </w:r>
          </w:p>
        </w:tc>
      </w:tr>
      <w:tr>
        <w:trPr>
          <w:cantSplit/>
        </w:trPr>
        <w:tc>
          <w:tcPr>
            <w:tcW w:type="dxa" w:w="680"/>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S23</w:t>
            </w:r>
          </w:p>
        </w:tc>
        <w:tc>
          <w:tcPr>
            <w:tcW w:type="dxa" w:w="4592"/>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ops/diagnostics/src/aws-policy.mjs:24</w:t>
            </w:r>
          </w:p>
        </w:tc>
        <w:tc>
          <w:tcPr>
            <w:tcW w:type="dxa" w:w="4365"/>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separate diagnostic and runtime-control permissions</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S24</w:t>
            </w:r>
          </w:p>
        </w:tc>
        <w:tc>
          <w:tcPr>
            <w:tcW w:type="dxa" w:w="4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ops/diagnostics/VALIDATION.zh-CN.md:42</w:t>
            </w:r>
          </w:p>
        </w:tc>
        <w:tc>
          <w:tcPr>
            <w:tcW w:type="dxa" w:w="43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historical live-fixture and sandbox validation</w:t>
            </w:r>
          </w:p>
        </w:tc>
      </w:tr>
      <w:tr>
        <w:trPr>
          <w:cantSplit/>
        </w:trPr>
        <w:tc>
          <w:tcPr>
            <w:tcW w:type="dxa" w:w="680"/>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S25</w:t>
            </w:r>
          </w:p>
        </w:tc>
        <w:tc>
          <w:tcPr>
            <w:tcW w:type="dxa" w:w="4592"/>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ops/diagnostics/scripts/diagnostics.ps1:2</w:t>
            </w:r>
          </w:p>
        </w:tc>
        <w:tc>
          <w:tcPr>
            <w:tcW w:type="dxa" w:w="4365"/>
            <w:vAlign w:val="center"/>
            <w:shd w:fill="F0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40" w:after="40" w:line="259" w:lineRule="auto"/>
            </w:pPr>
            <w:r>
              <w:rPr>
                <w:b w:val="0"/>
                <w:color w:val="000000"/>
                <w:sz w:val="17"/>
              </w:rPr>
              <w:t>PowerShell operations entry point</w:t>
            </w:r>
          </w:p>
        </w:tc>
      </w:tr>
    </w:tbl>
    <w:p>
      <w:pPr>
        <w:spacing w:after="20"/>
        <w:snapToGrid w:val="0"/>
      </w:pPr>
    </w:p>
    <w:sectPr w:rsidR="00FC693F" w:rsidRPr="0006063C" w:rsidSect="00034616">
      <w:footerReference w:type="default" r:id="rId9"/>
      <w:footerReference w:type="even" r:id="rId10"/>
      <w:footerReference w:type="first" r:id="rId11"/>
      <w:pgSz w:w="11906" w:h="16838"/>
      <w:pgMar w:top="1020" w:right="1134" w:bottom="964" w:left="1134"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Diagnostic Agent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Diagnostic Agent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Diagnostic Agent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0" w:lineRule="exact" w:after="100"/>
    </w:pPr>
    <w:rPr>
      <w:rFonts w:ascii="Arial" w:hAnsi="Arial" w:eastAsia="Microsoft YaHei"/>
      <w:b w:val="0"/>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20"/>
      <w:outlineLvl w:val="0"/>
    </w:pPr>
    <w:rPr>
      <w:rFonts w:ascii="Arial" w:hAnsi="Arial" w:eastAsia="Microsoft YaHei"/>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Arial" w:hAnsi="Arial" w:eastAsia="Microsoft YaHei"/>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eastAsia="Microsoft YaHei"/>
      <w:b w:val="0"/>
      <w:i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Microsoft YaHei"/>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eastAsia="Microsoft YaHei"/>
      <w:b w:val="0"/>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 Agent Current Implementation Design</dc:title>
  <dc:subject>Runtime control, health diagnosis, evidence boundaries, and two-tier model collaboration for EBO</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