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QSAR</w:t>
      </w:r>
      <w:r>
        <w:t xml:space="preserve"> </w:t>
      </w:r>
      <w:r>
        <w:t xml:space="preserve">Lab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Donna</w:t>
      </w:r>
      <w:r>
        <w:t xml:space="preserve"> </w:t>
      </w:r>
      <w:r>
        <w:t xml:space="preserve">Wrublewski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purpose"/>
      <w:r>
        <w:t xml:space="preserve">Purpose</w:t>
      </w:r>
      <w:bookmarkEnd w:id="20"/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One focus of Chemical Informatics is to try to predict the behavior of a compound based</w:t>
      </w:r>
      <w:r>
        <w:t xml:space="preserve"> </w:t>
      </w:r>
      <w:r>
        <w:t xml:space="preserve">on its structure. Especially, behavior in a biological system can be very complex and</w:t>
      </w:r>
      <w:r>
        <w:t xml:space="preserve"> </w:t>
      </w:r>
      <w:r>
        <w:t xml:space="preserve">difficult to predict in a simple way. Some examples are:</w:t>
      </w:r>
    </w:p>
    <w:p>
      <w:pPr>
        <w:pStyle w:val="Compact"/>
        <w:numPr>
          <w:numId w:val="1001"/>
          <w:ilvl w:val="0"/>
        </w:numPr>
      </w:pPr>
      <w:r>
        <w:t xml:space="preserve">drug activity</w:t>
      </w:r>
    </w:p>
    <w:p>
      <w:pPr>
        <w:pStyle w:val="Compact"/>
        <w:numPr>
          <w:numId w:val="1001"/>
          <w:ilvl w:val="0"/>
        </w:numPr>
      </w:pPr>
      <w:r>
        <w:t xml:space="preserve">drug side effects</w:t>
      </w:r>
    </w:p>
    <w:p>
      <w:pPr>
        <w:pStyle w:val="Compact"/>
        <w:numPr>
          <w:numId w:val="1001"/>
          <w:ilvl w:val="0"/>
        </w:numPr>
      </w:pPr>
      <w:r>
        <w:t xml:space="preserve">environmental toxicity</w:t>
      </w:r>
    </w:p>
    <w:p>
      <w:pPr>
        <w:pStyle w:val="FirstParagraph"/>
      </w:pPr>
      <w:r>
        <w:t xml:space="preserve">These are complex types of behavior and are difficult to predict. One way to approach</w:t>
      </w:r>
      <w:r>
        <w:t xml:space="preserve"> </w:t>
      </w:r>
      <w:r>
        <w:t xml:space="preserve">this problem is known as a QSAR – Quantitative Structure-Activity Relationship.</w:t>
      </w:r>
      <w:r>
        <w:t xml:space="preserve"> </w:t>
      </w:r>
      <w:r>
        <w:t xml:space="preserve">Peter et al. (2019)</w:t>
      </w:r>
      <w:r>
        <w:t xml:space="preserve"> </w:t>
      </w:r>
      <w:r>
        <w:t xml:space="preserve">The most common approach to QSAR is rather like constructing a Calibration</w:t>
      </w:r>
      <w:r>
        <w:t xml:space="preserve"> </w:t>
      </w:r>
      <w:r>
        <w:t xml:space="preserve">Curve, except that multiple variables are used in building the model. You start with a</w:t>
      </w:r>
      <w:r>
        <w:t xml:space="preserve"> </w:t>
      </w:r>
      <w:r>
        <w:t xml:space="preserve">series of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- numbers that describe the structure of the</w:t>
      </w:r>
      <w:r>
        <w:t xml:space="preserve"> </w:t>
      </w:r>
      <w:r>
        <w:t xml:space="preserve">molecule which are easy to compute or measure, for example: MW, solubility, number of</w:t>
      </w:r>
      <w:r>
        <w:t xml:space="preserve"> </w:t>
      </w:r>
      <w:r>
        <w:t xml:space="preserve">hydrogen- bond-donors, dipole moment, and many others. Using these it is possible to</w:t>
      </w:r>
      <w:r>
        <w:t xml:space="preserve"> </w:t>
      </w:r>
      <w:r>
        <w:t xml:space="preserve">build a multiple regression model: an equation to predict the activity of interest:</w:t>
      </w:r>
    </w:p>
    <w:p>
      <w:pPr>
        <w:pStyle w:val="BodyText"/>
      </w:pPr>
      <w:r>
        <w:rPr>
          <w:rStyle w:val="VerbatimChar"/>
        </w:rPr>
        <w:t xml:space="preserve">activity = intercept + (const1)*(descriptor1) + ( const2)*(descriptor2) + (const3)*(descriptor3) ...</w:t>
      </w:r>
    </w:p>
    <w:p>
      <w:pPr>
        <w:pStyle w:val="BodyText"/>
      </w:pPr>
      <w:r>
        <w:t xml:space="preserve">In this case, the</w:t>
      </w:r>
      <w:r>
        <w:t xml:space="preserve"> </w:t>
      </w:r>
      <w:r>
        <w:t xml:space="preserve">“</w:t>
      </w:r>
      <w:r>
        <w:t xml:space="preserve">activity</w:t>
      </w:r>
      <w:r>
        <w:t xml:space="preserve">”</w:t>
      </w:r>
      <w:r>
        <w:t xml:space="preserve"> </w:t>
      </w:r>
      <w:r>
        <w:t xml:space="preserve">represents the Dependent variable (also called the Response variable) and the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represent multiple Independent variables (also called Explanatory variables). This equation is an expansion of the standard formula for a straight line:</w:t>
      </w:r>
    </w:p>
    <w:p>
      <w:pPr>
        <w:pStyle w:val="BodyText"/>
      </w:pPr>
      <w:r>
        <w:rPr>
          <w:rStyle w:val="VerbatimChar"/>
        </w:rPr>
        <w:t xml:space="preserve">y = mx + b</w:t>
      </w:r>
    </w:p>
    <w:p>
      <w:pPr>
        <w:pStyle w:val="BodyText"/>
      </w:pPr>
      <w:r>
        <w:t xml:space="preserve">in this case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is the intercept 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is the slope.</w:t>
      </w:r>
    </w:p>
    <w:p>
      <w:pPr>
        <w:pStyle w:val="BodyText"/>
      </w:pPr>
      <w:r>
        <w:t xml:space="preserve">The sample data file for this exercise (benzoate-pka.txt) gives data on a series of</w:t>
      </w:r>
      <w:r>
        <w:t xml:space="preserve"> </w:t>
      </w:r>
      <w:r>
        <w:t xml:space="preserve">substituted benzoic acids. The Hammett plot has been used in physical organic chemistry</w:t>
      </w:r>
      <w:r>
        <w:t xml:space="preserve"> </w:t>
      </w:r>
      <w:r>
        <w:t xml:space="preserve">to understand the effect of electron-donating and electron-withdrawing groups on a given</w:t>
      </w:r>
      <w:r>
        <w:t xml:space="preserve"> </w:t>
      </w:r>
      <w:r>
        <w:t xml:space="preserve">reaction. The Hammett sigma value could be considered an electronic molecular</w:t>
      </w:r>
      <w:r>
        <w:t xml:space="preserve"> </w:t>
      </w:r>
      <w:r>
        <w:t xml:space="preserve">descriptor, although it is not one typically used in cheminformatics applications.</w:t>
      </w:r>
      <w:r>
        <w:t xml:space="preserve"> </w:t>
      </w:r>
      <w:r>
        <w:t xml:space="preserve">This works well if all of your data points have the same substitution pattern - either</w:t>
      </w:r>
      <w:r>
        <w:t xml:space="preserve"> </w:t>
      </w:r>
      <w:r>
        <w:t xml:space="preserve">all meta or all para. What if you have all three substitution patterns present in your</w:t>
      </w:r>
      <w:r>
        <w:t xml:space="preserve"> </w:t>
      </w:r>
      <w:r>
        <w:t xml:space="preserve">dataset?</w:t>
      </w:r>
    </w:p>
    <w:p>
      <w:pPr>
        <w:pStyle w:val="CaptionedFigure"/>
      </w:pPr>
      <w:r>
        <w:drawing>
          <wp:inline>
            <wp:extent cx="5065776" cy="2005583"/>
            <wp:effectExtent b="0" l="0" r="0" t="0"/>
            <wp:docPr descr="Substituted benzoic acids." title="" id="1" name="Picture"/>
            <a:graphic>
              <a:graphicData uri="http://schemas.openxmlformats.org/drawingml/2006/picture">
                <pic:pic>
                  <pic:nvPicPr>
                    <pic:cNvPr descr="./images/bromo_benzoic_aci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00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Substituted benzoic acids.</w:t>
      </w:r>
    </w:p>
    <w:p>
      <w:pPr>
        <w:pStyle w:val="BodyText"/>
      </w:pPr>
      <w:r>
        <w:t xml:space="preserve">We will use this method to model the pKa values for a series of substituted benzoic</w:t>
      </w:r>
      <w:r>
        <w:t xml:space="preserve"> </w:t>
      </w:r>
      <w:r>
        <w:t xml:space="preserve">acids. Substituents on the benzene can affect the pKa of benzoic acid – electron</w:t>
      </w:r>
      <w:r>
        <w:t xml:space="preserve"> </w:t>
      </w:r>
      <w:r>
        <w:t xml:space="preserve">withdrawing substituents lower the pKa (more acidic), and electron donating substituents</w:t>
      </w:r>
      <w:r>
        <w:t xml:space="preserve"> </w:t>
      </w:r>
      <w:r>
        <w:t xml:space="preserve">increase the pKa (less acidic). The</w:t>
      </w:r>
      <w:r>
        <w:t xml:space="preserve"> </w:t>
      </w:r>
      <w:r>
        <w:rPr>
          <w:b/>
        </w:rPr>
        <w:t xml:space="preserve">Sigma value</w:t>
      </w:r>
      <w:r>
        <w:t xml:space="preserve"> </w:t>
      </w:r>
      <w:r>
        <w:t xml:space="preserve">of a substituent is a measure of how</w:t>
      </w:r>
      <w:r>
        <w:t xml:space="preserve"> </w:t>
      </w:r>
      <w:r>
        <w:t xml:space="preserve">strongly electron-donating or electron-withdrawing it is. But the value of Sigma, and</w:t>
      </w:r>
      <w:r>
        <w:t xml:space="preserve"> </w:t>
      </w:r>
      <w:r>
        <w:t xml:space="preserve">the pKa both depend on its location on the benzene ring:</w:t>
      </w:r>
      <w:r>
        <w:t xml:space="preserve"> </w:t>
      </w:r>
      <w:r>
        <w:rPr>
          <w:i/>
        </w:rPr>
        <w:t xml:space="preserve">ortho</w:t>
      </w:r>
      <w:r>
        <w:t xml:space="preserve">,</w:t>
      </w:r>
      <w:r>
        <w:t xml:space="preserve"> </w:t>
      </w:r>
      <w:r>
        <w:rPr>
          <w:i/>
        </w:rPr>
        <w:t xml:space="preserve">meta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para</w:t>
      </w:r>
      <w:r>
        <w:t xml:space="preserve">. As a</w:t>
      </w:r>
      <w:r>
        <w:t xml:space="preserve"> </w:t>
      </w:r>
      <w:r>
        <w:t xml:space="preserve">result, two different versions of sigma are included in the data file:</w:t>
      </w:r>
      <w:r>
        <w:t xml:space="preserve"> </w:t>
      </w:r>
      <w:r>
        <w:rPr>
          <w:b/>
        </w:rPr>
        <w:t xml:space="preserve">sigma.m</w:t>
      </w:r>
      <w:r>
        <w:t xml:space="preserve"> </w:t>
      </w:r>
      <w:r>
        <w:t xml:space="preserve">for when the substituent is meta, and</w:t>
      </w:r>
      <w:r>
        <w:t xml:space="preserve"> </w:t>
      </w:r>
      <w:r>
        <w:rPr>
          <w:b/>
        </w:rPr>
        <w:t xml:space="preserve">sigma.p</w:t>
      </w:r>
      <w:r>
        <w:t xml:space="preserve"> </w:t>
      </w:r>
      <w:r>
        <w:t xml:space="preserve">for when the substituent</w:t>
      </w:r>
      <w:r>
        <w:t xml:space="preserve"> </w:t>
      </w:r>
      <w:r>
        <w:t xml:space="preserve">is para. For</w:t>
      </w:r>
      <w:r>
        <w:t xml:space="preserve"> </w:t>
      </w:r>
      <w:r>
        <w:rPr>
          <w:i/>
        </w:rPr>
        <w:t xml:space="preserve">ortho</w:t>
      </w:r>
      <w:r>
        <w:t xml:space="preserve"> </w:t>
      </w:r>
      <w:r>
        <w:t xml:space="preserve">substituents, the sigma.p value can be used.</w:t>
      </w:r>
    </w:p>
    <w:p>
      <w:pPr>
        <w:pStyle w:val="BodyText"/>
      </w:pPr>
      <w:r>
        <w:t xml:space="preserve">As a further refinement, we can add Indicator Variables to the model. In the dataset</w:t>
      </w:r>
      <w:r>
        <w:t xml:space="preserve"> </w:t>
      </w:r>
      <w:r>
        <w:t xml:space="preserve">there are three indicator variables that are either one or zero to indicate the position</w:t>
      </w:r>
      <w:r>
        <w:t xml:space="preserve"> </w:t>
      </w:r>
      <w:r>
        <w:t xml:space="preserve">of the substituent in each molecule in the dataset, whether it is ortho, meta or para.</w:t>
      </w:r>
      <w:r>
        <w:br w:type="textWrapping"/>
      </w:r>
      <w:r>
        <w:t xml:space="preserve">There are three other descriptors as well: TPSA describes the total polar surface area</w:t>
      </w:r>
      <w:r>
        <w:t xml:space="preserve"> </w:t>
      </w:r>
      <w:r>
        <w:t xml:space="preserve">of the molecule, logP describes its solubility in water versus in octanol, and MR is the</w:t>
      </w:r>
      <w:r>
        <w:t xml:space="preserve"> </w:t>
      </w:r>
      <w:r>
        <w:t xml:space="preserve">molar refractivity which has to do with the polarizability of the molecule.</w:t>
      </w:r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Heading2"/>
      </w:pPr>
      <w:bookmarkStart w:id="24" w:name="exploratory-analysis-of-pka-values"/>
      <w:r>
        <w:t xml:space="preserve">Exploratory Analysis of</w:t>
      </w:r>
      <w:r>
        <w:t xml:space="preserve"> </w:t>
      </w:r>
      <w:r>
        <w:rPr>
          <w:i/>
        </w:rPr>
        <w:t xml:space="preserve">pKa</w:t>
      </w:r>
      <w:r>
        <w:t xml:space="preserve"> </w:t>
      </w:r>
      <w:r>
        <w:t xml:space="preserve">values</w:t>
      </w:r>
      <w:bookmarkEnd w:id="24"/>
    </w:p>
    <w:p>
      <w:pPr>
        <w:pStyle w:val="Heading3"/>
      </w:pPr>
      <w:bookmarkStart w:id="25" w:name="pka-values"/>
      <w:r>
        <w:t xml:space="preserve">pKa Values</w:t>
      </w:r>
      <w:bookmarkEnd w:id="25"/>
    </w:p>
    <w:p>
      <w:pPr>
        <w:pStyle w:val="FirstParagraph"/>
      </w:pPr>
      <w:r>
        <w:t xml:space="preserve">There are 33 values and the median value is 3.86.</w:t>
      </w:r>
    </w:p>
    <w:p>
      <w:pPr>
        <w:pStyle w:val="TableCaption"/>
      </w:pPr>
      <w:r>
        <w:t xml:space="preserve">Raw pKa Data</w:t>
      </w:r>
    </w:p>
    <w:tbl>
      <w:tblPr>
        <w:tblStyle w:val="Table"/>
        <w:tblW w:type="pct" w:w="0.0"/>
        <w:tblLook w:firstRow="1"/>
        <w:tblCaption w:val="Raw pKa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pka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sigma.m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tpsa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1.38480</w:t>
            </w:r>
          </w:p>
        </w:tc>
        <w:tc>
          <w:p>
            <w:pPr>
              <w:pStyle w:val="Compact"/>
              <w:jc w:val="right"/>
            </w:pPr>
            <w:r>
              <w:t xml:space="preserve">33.40130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O-CH3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O-Ph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3.05180</w:t>
            </w:r>
          </w:p>
        </w:tc>
        <w:tc>
          <w:p>
            <w:pPr>
              <w:pStyle w:val="Compact"/>
              <w:jc w:val="right"/>
            </w:pPr>
            <w:r>
              <w:t xml:space="preserve">58.83730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O-OCH3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O-F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O-I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1.98940</w:t>
            </w:r>
          </w:p>
        </w:tc>
        <w:tc>
          <w:p>
            <w:pPr>
              <w:pStyle w:val="Compact"/>
              <w:jc w:val="right"/>
            </w:pPr>
            <w:r>
              <w:t xml:space="preserve">46.11830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O-CO2H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O-Cl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O-Br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O-NO2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M-NH2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63.32</w:t>
            </w:r>
          </w:p>
        </w:tc>
        <w:tc>
          <w:p>
            <w:pPr>
              <w:pStyle w:val="Compact"/>
              <w:jc w:val="right"/>
            </w:pPr>
            <w:r>
              <w:t xml:space="preserve">1.54820</w:t>
            </w:r>
          </w:p>
        </w:tc>
        <w:tc>
          <w:p>
            <w:pPr>
              <w:pStyle w:val="Compact"/>
              <w:jc w:val="right"/>
            </w:pPr>
            <w:r>
              <w:t xml:space="preserve">37.80570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M-CH3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M-OH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57.53</w:t>
            </w:r>
          </w:p>
        </w:tc>
        <w:tc>
          <w:p>
            <w:pPr>
              <w:pStyle w:val="Compact"/>
              <w:jc w:val="right"/>
            </w:pPr>
            <w:r>
              <w:t xml:space="preserve">1.09040</w:t>
            </w:r>
          </w:p>
        </w:tc>
        <w:tc>
          <w:p>
            <w:pPr>
              <w:pStyle w:val="Compact"/>
              <w:jc w:val="right"/>
            </w:pPr>
            <w:r>
              <w:t xml:space="preserve">35.42430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M-OCH3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M-F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M-I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1.98940</w:t>
            </w:r>
          </w:p>
        </w:tc>
        <w:tc>
          <w:p>
            <w:pPr>
              <w:pStyle w:val="Compact"/>
              <w:jc w:val="right"/>
            </w:pPr>
            <w:r>
              <w:t xml:space="preserve">46.11830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M-CO2H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M-Cl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M-Br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M-CF3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2.40360</w:t>
            </w:r>
          </w:p>
        </w:tc>
        <w:tc>
          <w:p>
            <w:pPr>
              <w:pStyle w:val="Compact"/>
              <w:jc w:val="right"/>
            </w:pPr>
            <w:r>
              <w:t xml:space="preserve">38.40330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M-CN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61.09</w:t>
            </w:r>
          </w:p>
        </w:tc>
        <w:tc>
          <w:p>
            <w:pPr>
              <w:pStyle w:val="Compact"/>
              <w:jc w:val="right"/>
            </w:pPr>
            <w:r>
              <w:t xml:space="preserve">1.25648</w:t>
            </w:r>
          </w:p>
        </w:tc>
        <w:tc>
          <w:p>
            <w:pPr>
              <w:pStyle w:val="Compact"/>
              <w:jc w:val="right"/>
            </w:pPr>
            <w:r>
              <w:t xml:space="preserve">38.11630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M-NO2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p-NH2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63.32</w:t>
            </w:r>
          </w:p>
        </w:tc>
        <w:tc>
          <w:p>
            <w:pPr>
              <w:pStyle w:val="Compact"/>
              <w:jc w:val="right"/>
            </w:pPr>
            <w:r>
              <w:t xml:space="preserve">1.54820</w:t>
            </w:r>
          </w:p>
        </w:tc>
        <w:tc>
          <w:p>
            <w:pPr>
              <w:pStyle w:val="Compact"/>
              <w:jc w:val="right"/>
            </w:pPr>
            <w:r>
              <w:t xml:space="preserve">37.80570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p-CH3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p-OH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57.53</w:t>
            </w:r>
          </w:p>
        </w:tc>
        <w:tc>
          <w:p>
            <w:pPr>
              <w:pStyle w:val="Compact"/>
              <w:jc w:val="right"/>
            </w:pPr>
            <w:r>
              <w:t xml:space="preserve">1.09040</w:t>
            </w:r>
          </w:p>
        </w:tc>
        <w:tc>
          <w:p>
            <w:pPr>
              <w:pStyle w:val="Compact"/>
              <w:jc w:val="right"/>
            </w:pPr>
            <w:r>
              <w:t xml:space="preserve">35.42430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p-OCH3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p-F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p-I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1.98900</w:t>
            </w:r>
          </w:p>
        </w:tc>
        <w:tc>
          <w:p>
            <w:pPr>
              <w:pStyle w:val="Compact"/>
              <w:jc w:val="right"/>
            </w:pPr>
            <w:r>
              <w:t xml:space="preserve">46.11829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p-CO2H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p-Cl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p-Br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p-CN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61.09</w:t>
            </w:r>
          </w:p>
        </w:tc>
        <w:tc>
          <w:p>
            <w:pPr>
              <w:pStyle w:val="Compact"/>
              <w:jc w:val="right"/>
            </w:pPr>
            <w:r>
              <w:t xml:space="preserve">1.25648</w:t>
            </w:r>
          </w:p>
        </w:tc>
        <w:tc>
          <w:p>
            <w:pPr>
              <w:pStyle w:val="Compact"/>
              <w:jc w:val="right"/>
            </w:pPr>
            <w:r>
              <w:t xml:space="preserve">38.11630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p-NO2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</w:tbl>
    <w:p>
      <w:pPr>
        <w:pStyle w:val="Heading3"/>
      </w:pPr>
      <w:bookmarkStart w:id="26" w:name="plots"/>
      <w:r>
        <w:t xml:space="preserve">Plots</w:t>
      </w:r>
      <w:bookmarkEnd w:id="26"/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(benzoate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"Spread of pKa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"pKa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3_Notebook_Finished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(benzoate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"Distribution of pKa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"pKa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3_Notebook_Finished_files/figure-docx/pKa_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outliers"/>
      <w:r>
        <w:t xml:space="preserve">Outliers</w:t>
      </w:r>
      <w:bookmarkEnd w:id="29"/>
    </w:p>
    <w:p>
      <w:pPr>
        <w:pStyle w:val="FirstParagraph"/>
      </w:pPr>
      <w:r>
        <w:t xml:space="preserve">Based on the boxplot, are there any outliers in your pKa values? Which one?</w:t>
      </w:r>
      <w:r>
        <w:t xml:space="preserve"> </w:t>
      </w:r>
      <w:r>
        <w:t xml:space="preserve">Look at your plot for model.2 – is this outlier a problem? Should we leave it in or</w:t>
      </w:r>
      <w:r>
        <w:t xml:space="preserve"> </w:t>
      </w:r>
      <w:r>
        <w:t xml:space="preserve">remove it from the model. Explain your reasons.</w:t>
      </w:r>
    </w:p>
    <w:p>
      <w:pPr>
        <w:pStyle w:val="Heading2"/>
      </w:pPr>
      <w:bookmarkStart w:id="30" w:name="model-building-results"/>
      <w:r>
        <w:t xml:space="preserve">Model Building Results</w:t>
      </w:r>
      <w:bookmarkEnd w:id="30"/>
    </w:p>
    <w:p>
      <w:pPr>
        <w:pStyle w:val="Heading3"/>
      </w:pPr>
      <w:bookmarkStart w:id="31" w:name="model.all-results"/>
      <w:r>
        <w:t xml:space="preserve">model.all results</w:t>
      </w:r>
      <w:bookmarkEnd w:id="31"/>
    </w:p>
    <w:p>
      <w:pPr>
        <w:pStyle w:val="FirstParagraph"/>
      </w:pPr>
      <w:r>
        <w:t xml:space="preserve">Give the plot a title and copy it into this report.</w:t>
      </w:r>
    </w:p>
    <w:p>
      <w:pPr>
        <w:pStyle w:val="SourceCode"/>
      </w:pPr>
      <w:r>
        <w:rPr>
          <w:rStyle w:val="NormalTok"/>
        </w:rPr>
        <w:t xml:space="preserve">model.all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(pka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benzoate)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(benzoate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pka,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(model.all),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"This is the 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"Observed pKa"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pKa"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3_Notebook_Finish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(model.all)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pka ~ ., data = benzoate)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-0.31383 -0.14176  0.03044  0.05978  0.54947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4.3401515  0.3734497  11.622 2.42e-11 ***</w:t>
      </w:r>
      <w:r>
        <w:br w:type="textWrapping"/>
      </w:r>
      <w:r>
        <w:rPr>
          <w:rStyle w:val="VerbatimChar"/>
        </w:rPr>
        <w:t xml:space="preserve">## sigma.m     -0.7593948  0.4367495  -1.739   0.0949 .  </w:t>
      </w:r>
      <w:r>
        <w:br w:type="textWrapping"/>
      </w:r>
      <w:r>
        <w:rPr>
          <w:rStyle w:val="VerbatimChar"/>
        </w:rPr>
        <w:t xml:space="preserve">## sigma.p     -0.6215509  0.2663965  -2.333   0.0283 *  </w:t>
      </w:r>
      <w:r>
        <w:br w:type="textWrapping"/>
      </w:r>
      <w:r>
        <w:rPr>
          <w:rStyle w:val="VerbatimChar"/>
        </w:rPr>
        <w:t xml:space="preserve">## meta         0.0370935  0.2454376   0.151   0.8811    </w:t>
      </w:r>
      <w:r>
        <w:br w:type="textWrapping"/>
      </w:r>
      <w:r>
        <w:rPr>
          <w:rStyle w:val="VerbatimChar"/>
        </w:rPr>
        <w:t xml:space="preserve">## ortho       -0.6856069  0.2528151  -2.712   0.0122 *  </w:t>
      </w:r>
      <w:r>
        <w:br w:type="textWrapping"/>
      </w:r>
      <w:r>
        <w:rPr>
          <w:rStyle w:val="VerbatimChar"/>
        </w:rPr>
        <w:t xml:space="preserve">## para         0.1840806  0.2481625   0.742   0.4654    </w:t>
      </w:r>
      <w:r>
        <w:br w:type="textWrapping"/>
      </w:r>
      <w:r>
        <w:rPr>
          <w:rStyle w:val="VerbatimChar"/>
        </w:rPr>
        <w:t xml:space="preserve">## tpsa         0.0005219  0.0031450   0.166   0.8696    </w:t>
      </w:r>
      <w:r>
        <w:br w:type="textWrapping"/>
      </w:r>
      <w:r>
        <w:rPr>
          <w:rStyle w:val="VerbatimChar"/>
        </w:rPr>
        <w:t xml:space="preserve">## logp         0.0934268  0.1424129   0.656   0.5180    </w:t>
      </w:r>
      <w:r>
        <w:br w:type="textWrapping"/>
      </w:r>
      <w:r>
        <w:rPr>
          <w:rStyle w:val="VerbatimChar"/>
        </w:rPr>
        <w:t xml:space="preserve">## mr          -0.0086522  0.0115723  -0.748   0.4619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0.2051 on 24 degrees of freedom</w:t>
      </w:r>
      <w:r>
        <w:br w:type="textWrapping"/>
      </w:r>
      <w:r>
        <w:rPr>
          <w:rStyle w:val="VerbatimChar"/>
        </w:rPr>
        <w:t xml:space="preserve">## Multiple R-squared:  0.9102, Adjusted R-squared:  0.8803 </w:t>
      </w:r>
      <w:r>
        <w:br w:type="textWrapping"/>
      </w:r>
      <w:r>
        <w:rPr>
          <w:rStyle w:val="VerbatimChar"/>
        </w:rPr>
        <w:t xml:space="preserve">## F-statistic: 30.42 on 8 and 24 DF,  p-value: 9.617e-11</w:t>
      </w:r>
    </w:p>
    <w:p>
      <w:pPr>
        <w:pStyle w:val="FirstParagraph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Heading3"/>
      </w:pPr>
      <w:bookmarkStart w:id="33" w:name="model.5-results"/>
      <w:r>
        <w:t xml:space="preserve">model.5 results</w:t>
      </w:r>
      <w:bookmarkEnd w:id="33"/>
    </w:p>
    <w:p>
      <w:pPr>
        <w:pStyle w:val="FirstParagraph"/>
      </w:pPr>
      <w:r>
        <w:t xml:space="preserve">Give the plot a title and copy it into this report.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(pka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sigma.p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sigma.m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ortho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tpsa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logp,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benzoate)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(benzoate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pka, 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"This is the title"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"Observed pKa"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pKa"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_3_Notebook_Finishe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pka ~ sigma.p + sigma.m + ortho + tpsa + logp, data = benzoate)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-0.34892 -0.13829  0.00201  0.13166  0.52311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4.2197758  0.2864167  14.733 1.99e-14 ***</w:t>
      </w:r>
      <w:r>
        <w:br w:type="textWrapping"/>
      </w:r>
      <w:r>
        <w:rPr>
          <w:rStyle w:val="VerbatimChar"/>
        </w:rPr>
        <w:t xml:space="preserve">## sigma.p     -0.7106309  0.2400520  -2.960  0.00633 ** </w:t>
      </w:r>
      <w:r>
        <w:br w:type="textWrapping"/>
      </w:r>
      <w:r>
        <w:rPr>
          <w:rStyle w:val="VerbatimChar"/>
        </w:rPr>
        <w:t xml:space="preserve">## sigma.m     -0.5982669  0.3848878  -1.554  0.13174    </w:t>
      </w:r>
      <w:r>
        <w:br w:type="textWrapping"/>
      </w:r>
      <w:r>
        <w:rPr>
          <w:rStyle w:val="VerbatimChar"/>
        </w:rPr>
        <w:t xml:space="preserve">## ortho       -0.7994722  0.0832319  -9.605 3.34e-10 ***</w:t>
      </w:r>
      <w:r>
        <w:br w:type="textWrapping"/>
      </w:r>
      <w:r>
        <w:rPr>
          <w:rStyle w:val="VerbatimChar"/>
        </w:rPr>
        <w:t xml:space="preserve">## tpsa        -0.0001302  0.0028483  -0.046  0.96388    </w:t>
      </w:r>
      <w:r>
        <w:br w:type="textWrapping"/>
      </w:r>
      <w:r>
        <w:rPr>
          <w:rStyle w:val="VerbatimChar"/>
        </w:rPr>
        <w:t xml:space="preserve">## logp         0.0233749  0.1045788   0.224  0.82482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0.2065 on 27 degrees of freedom</w:t>
      </w:r>
      <w:r>
        <w:br w:type="textWrapping"/>
      </w:r>
      <w:r>
        <w:rPr>
          <w:rStyle w:val="VerbatimChar"/>
        </w:rPr>
        <w:t xml:space="preserve">## Multiple R-squared:  0.8976, Adjusted R-squared:  0.8786 </w:t>
      </w:r>
      <w:r>
        <w:br w:type="textWrapping"/>
      </w:r>
      <w:r>
        <w:rPr>
          <w:rStyle w:val="VerbatimChar"/>
        </w:rPr>
        <w:t xml:space="preserve">## F-statistic: 47.32 on 5 and 27 DF,  p-value: 1.601e-12</w:t>
      </w:r>
    </w:p>
    <w:p>
      <w:pPr>
        <w:pStyle w:val="FirstParagraph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Heading3"/>
      </w:pPr>
      <w:bookmarkStart w:id="35" w:name="model.2-results"/>
      <w:r>
        <w:t xml:space="preserve">model.2 results</w:t>
      </w:r>
      <w:bookmarkEnd w:id="35"/>
    </w:p>
    <w:p>
      <w:pPr>
        <w:pStyle w:val="FirstParagraph"/>
      </w:pPr>
      <w:r>
        <w:t xml:space="preserve">Give the plot a title and copy it into this report.</w:t>
      </w:r>
      <w:r>
        <w:t xml:space="preserve"> </w:t>
      </w: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Heading3"/>
      </w:pPr>
      <w:bookmarkStart w:id="36" w:name="model.1-results"/>
      <w:r>
        <w:t xml:space="preserve">model.1 results</w:t>
      </w:r>
      <w:bookmarkEnd w:id="36"/>
    </w:p>
    <w:p>
      <w:pPr>
        <w:pStyle w:val="FirstParagraph"/>
      </w:pPr>
      <w:r>
        <w:t xml:space="preserve">Give the plot a title and copy it into this report.</w:t>
      </w:r>
      <w:r>
        <w:t xml:space="preserve"> </w:t>
      </w: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Heading2"/>
      </w:pPr>
      <w:bookmarkStart w:id="37" w:name="discussion"/>
      <w:r>
        <w:t xml:space="preserve">Discussion</w:t>
      </w:r>
      <w:bookmarkEnd w:id="37"/>
    </w:p>
    <w:p>
      <w:pPr>
        <w:pStyle w:val="FirstParagraph"/>
      </w:pPr>
      <w:r>
        <w:t xml:space="preserve">3.1</w:t>
      </w:r>
      <w:r>
        <w:t xml:space="preserve"> </w:t>
      </w:r>
      <w:r>
        <w:t xml:space="preserve">In general, how does the ability of the model to predict the pKa compare as you</w:t>
      </w:r>
      <w:r>
        <w:t xml:space="preserve"> </w:t>
      </w:r>
      <w:r>
        <w:t xml:space="preserve">increase the number of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(model.1 → model.2 → model.5 → model.all)?</w:t>
      </w:r>
      <w:r>
        <w:br w:type="textWrapping"/>
      </w:r>
      <w:r>
        <w:t xml:space="preserve">Consider how the plots for the three models look and the Multiple R-squared values for</w:t>
      </w:r>
      <w:r>
        <w:t xml:space="preserve"> </w:t>
      </w:r>
      <w:r>
        <w:t xml:space="preserve">the three models.</w:t>
      </w:r>
    </w:p>
    <w:p>
      <w:pPr>
        <w:pStyle w:val="BodyText"/>
      </w:pPr>
      <w:r>
        <w:t xml:space="preserve">3.2</w:t>
      </w:r>
      <w:r>
        <w:t xml:space="preserve"> </w:t>
      </w:r>
      <w:r>
        <w:t xml:space="preserve">Statisticians will talk a parsimonious model as being preferred: use the simplest</w:t>
      </w:r>
      <w:r>
        <w:t xml:space="preserve"> </w:t>
      </w:r>
      <w:r>
        <w:t xml:space="preserve">model that gives the best explanation. Given this, how does model.2 compare to the</w:t>
      </w:r>
      <w:r>
        <w:t xml:space="preserve"> </w:t>
      </w:r>
      <w:r>
        <w:t xml:space="preserve">others? Do you think this is an improvement or not? Explain.</w:t>
      </w:r>
    </w:p>
    <w:p>
      <w:pPr>
        <w:pStyle w:val="BodyText"/>
      </w:pPr>
      <w:r>
        <w:t xml:space="preserve">The original dataset had two outliers removed for you. You can’t just ignore data points</w:t>
      </w:r>
      <w:r>
        <w:t xml:space="preserve"> </w:t>
      </w:r>
      <w:r>
        <w:t xml:space="preserve">that you don’t like – there needs to be a valid reason for leaving them out. Consider</w:t>
      </w:r>
      <w:r>
        <w:t xml:space="preserve"> </w:t>
      </w:r>
      <w:r>
        <w:t xml:space="preserve">the chemistry of these molecules. Look closely at the structures of the molecules.</w:t>
      </w:r>
    </w:p>
    <w:p>
      <w:pPr>
        <w:pStyle w:val="BodyText"/>
      </w:pPr>
      <w:r>
        <w:t xml:space="preserve">3.3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o</w:t>
      </w:r>
      <w:r>
        <w:t xml:space="preserve">-Hydroxybenzoic acid the actual pKa is 2.98, but the model predicted a pKa of</w:t>
      </w:r>
      <w:r>
        <w:t xml:space="preserve"> </w:t>
      </w:r>
      <w:r>
        <w:t xml:space="preserve">3.77. What is the structure of</w:t>
      </w:r>
      <w:r>
        <w:t xml:space="preserve"> </w:t>
      </w:r>
      <w:r>
        <w:rPr>
          <w:i/>
        </w:rPr>
        <w:t xml:space="preserve">o</w:t>
      </w:r>
      <w:r>
        <w:t xml:space="preserve">-hydroxybenzoic acid? Based on the structure, explain</w:t>
      </w:r>
      <w:r>
        <w:t xml:space="preserve"> </w:t>
      </w:r>
      <w:r>
        <w:t xml:space="preserve">why the REAL pKa is lower than the model thinks it is – that is: it is a stronger acid than it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 </w:t>
      </w:r>
      <w:r>
        <w:t xml:space="preserve">be according to the model. When this acid ionizes, the resulting carboxylate ion is more stable that you would think it should be – why?</w:t>
      </w:r>
      <w:r>
        <w:t xml:space="preserve"> </w:t>
      </w:r>
      <w:r>
        <w:t xml:space="preserve">Note: the</w:t>
      </w:r>
      <w:r>
        <w:t xml:space="preserve"> </w:t>
      </w:r>
      <w:r>
        <w:rPr>
          <w:i/>
        </w:rPr>
        <w:t xml:space="preserve">meta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para</w:t>
      </w:r>
      <w:r>
        <w:t xml:space="preserve"> </w:t>
      </w:r>
      <w:r>
        <w:t xml:space="preserve">versions do not show this anomalous behavior.</w:t>
      </w:r>
    </w:p>
    <w:p>
      <w:pPr>
        <w:pStyle w:val="BodyText"/>
      </w:pPr>
      <w:r>
        <w:t xml:space="preserve">3.4</w:t>
      </w:r>
      <w:r>
        <w:t xml:space="preserve"> </w:t>
      </w:r>
      <w:r>
        <w:t xml:space="preserve">For</w:t>
      </w:r>
      <w:r>
        <w:t xml:space="preserve"> </w:t>
      </w:r>
      <w:r>
        <w:rPr>
          <w:i/>
        </w:rPr>
        <w:t xml:space="preserve">o</w:t>
      </w:r>
      <w:r>
        <w:t xml:space="preserve">-aminobenzoic acid the actual pKa is 4.98, but the model predicted a pKa of 4.09. What is the structure of</w:t>
      </w:r>
      <w:r>
        <w:t xml:space="preserve"> </w:t>
      </w:r>
      <w:r>
        <w:rPr>
          <w:i/>
        </w:rPr>
        <w:t xml:space="preserve">o</w:t>
      </w:r>
      <w:r>
        <w:t xml:space="preserve">-Aminobenzoic acid?</w:t>
      </w:r>
    </w:p>
    <w:p>
      <w:pPr>
        <w:pStyle w:val="BodyText"/>
      </w:pPr>
      <w:r>
        <w:t xml:space="preserve">Based on the structure, explain why the REAL pKa is higher than the model thinks it is.</w:t>
      </w:r>
      <w:r>
        <w:t xml:space="preserve"> </w:t>
      </w:r>
      <w:r>
        <w:t xml:space="preserve">It is harder than it</w:t>
      </w:r>
      <w:r>
        <w:t xml:space="preserve"> </w:t>
      </w:r>
      <w:r>
        <w:t xml:space="preserve">“</w:t>
      </w:r>
      <w:r>
        <w:t xml:space="preserve">should be</w:t>
      </w:r>
      <w:r>
        <w:t xml:space="preserve">”</w:t>
      </w:r>
      <w:r>
        <w:t xml:space="preserve"> </w:t>
      </w:r>
      <w:r>
        <w:t xml:space="preserve">to remove a hydrogen ion from this molecule – explain</w:t>
      </w:r>
      <w:r>
        <w:t xml:space="preserve"> </w:t>
      </w:r>
      <w:r>
        <w:t xml:space="preserve">why.</w:t>
      </w:r>
      <w:r>
        <w:t xml:space="preserve"> </w:t>
      </w:r>
      <w:r>
        <w:t xml:space="preserve">Note: the meta and para versions do not show this anomalous behavior.</w:t>
      </w:r>
    </w:p>
    <w:p>
      <w:pPr>
        <w:pStyle w:val="BodyText"/>
      </w:pPr>
      <w:r>
        <w:t xml:space="preserve">3.5</w:t>
      </w:r>
      <w:r>
        <w:t xml:space="preserve"> </w:t>
      </w:r>
      <w:r>
        <w:t xml:space="preserve">Since the model is describing the behavior of actual chemical compounds, it is important</w:t>
      </w:r>
      <w:r>
        <w:t xml:space="preserve"> </w:t>
      </w:r>
      <w:r>
        <w:t xml:space="preserve">that the descriptors used in the model make</w:t>
      </w:r>
      <w:r>
        <w:t xml:space="preserve"> </w:t>
      </w:r>
      <w:r>
        <w:t xml:space="preserve">“</w:t>
      </w:r>
      <w:r>
        <w:t xml:space="preserve">chemical sense</w:t>
      </w:r>
      <w:r>
        <w:t xml:space="preserve">”</w:t>
      </w:r>
      <w:r>
        <w:t xml:space="preserve"> </w:t>
      </w:r>
      <w:r>
        <w:t xml:space="preserve">for the property they are</w:t>
      </w:r>
      <w:r>
        <w:t xml:space="preserve"> </w:t>
      </w:r>
      <w:r>
        <w:t xml:space="preserve">meant to predict. Based on your knowledge of chemistry, why do you think the descriptors</w:t>
      </w:r>
      <w:r>
        <w:t xml:space="preserve"> </w:t>
      </w:r>
      <w:r>
        <w:t xml:space="preserve">in model.2 are the best choices to explain pKa?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bookmarkStart w:id="41" w:name="refs"/>
    <w:bookmarkStart w:id="40" w:name="ref-PETER2019661"/>
    <w:p>
      <w:pPr>
        <w:pStyle w:val="Bibliography"/>
      </w:pPr>
      <w:r>
        <w:t xml:space="preserve">Peter, Swathik Clarancia, Jaspreet Kaur Dhanjal, Vidhi Malik, Navaneethan Radhakrishnan, Mannu Jayakanthan, and Durai Sundar. 2019. “Quantitative Structure-Activity Relationship (Qsar): Modeling Approaches to Biological Applications.” In</w:t>
      </w:r>
      <w:r>
        <w:t xml:space="preserve"> </w:t>
      </w:r>
      <w:r>
        <w:rPr>
          <w:i/>
        </w:rPr>
        <w:t xml:space="preserve">Encyclopedia of Bioinformatics and Computational Biology</w:t>
      </w:r>
      <w:r>
        <w:t xml:space="preserve">, edited by Shoba Ranganathan, Michael Gribskov, Kenta Nakai, and Christian Schönbach, 661–76. Oxford: Academic Press.</w:t>
      </w:r>
      <w:r>
        <w:t xml:space="preserve"> </w:t>
      </w:r>
      <w:hyperlink r:id="rId39">
        <w:r>
          <w:rPr>
            <w:rStyle w:val="Hyperlink"/>
          </w:rPr>
          <w:t xml:space="preserve">https://doi.org/https://doi.org/10.1016/B978-0-12-809633-8.20197-0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39" Target="https://doi.org/https://doi.org/10.1016/B978-0-12-809633-8.20197-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doi.org/https://doi.org/10.1016/B978-0-12-809633-8.20197-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QSAR Lab Report</dc:title>
  <dc:creator>Donna Wrublewski</dc:creator>
  <cp:keywords/>
  <dcterms:created xsi:type="dcterms:W3CDTF">2019-08-24T15:03:18Z</dcterms:created>
  <dcterms:modified xsi:type="dcterms:W3CDTF">2019-08-24T15:03:18Z</dcterms:modified>
</cp:coreProperties>
</file>