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资金异常监测与案件调查实施方案</w:t>
      </w:r>
    </w:p>
    <w:p>
      <w:r>
        <w:t>版本：1.2　日期：2026 年 10 月 20 日</w:t>
      </w:r>
    </w:p>
    <w:p>
      <w:pPr>
        <w:pStyle w:val="Heading1"/>
      </w:pPr>
      <w:r>
        <w:t>一 项目目标与数据依据</w:t>
      </w:r>
    </w:p>
    <w:p>
      <w:r>
        <w:t>本项目将公开风险指标转化为交易监测规则，对异常交易建立案件，通过补充查询还原账户关系与交易结构，形成可核查的调查结论。</w:t>
      </w:r>
    </w:p>
    <w:p>
      <w:r>
        <w:t>实施流程为：</w:t>
      </w:r>
      <w:r>
        <w:rPr>
          <w:b/>
        </w:rPr>
        <w:t>风险指标 → 规则草案 → 验证阈值 → 测试告警 → 建立案件 → 扩展调查 → 汇总证据 → 独立评估。</w:t>
      </w:r>
    </w:p>
    <w:p>
      <w:pPr>
        <w:pStyle w:val="Heading2"/>
      </w:pPr>
      <w:r>
        <w:t>1 AUSTRAC 风险指标</w:t>
      </w:r>
    </w:p>
    <w:p>
      <w:r>
        <w:t>政策来源为 AUSTRAC《银行业可疑活动指标》。资料以文字描述需要关注的行为，项目提取文档名称、官方网址、章节、段落编号、原文和保存版本，用于规则生成及结论溯源。</w:t>
      </w:r>
    </w:p>
    <w:p>
      <w:r>
        <w:t>“贸易型洗钱指标”章节包含一组风险指标，并非一条已经可以直接执行的规则。其中最后一项包含一个前提条件——收到国际汇款，以及两个后续分支——分散转至境内公司账户，或再次转往境外。一项文字指标可能需要拆成多条检测规则。</w:t>
      </w:r>
    </w:p>
    <w:p>
      <w:r>
        <w:t>IBM 当前交易表没有发票、贸易合同、公司董事、受益所有人、地址及国家信息。银行编号和币种也不能代替国家。因此，本项目不能完整实施该章节的贸易型洗钱判断，也不能据此认定国际汇款、境内公司账户或贸易款回流。</w:t>
      </w:r>
    </w:p>
    <w:p>
      <w:pPr>
        <w:keepNext/>
      </w:pPr>
      <w:r>
        <w:t>本次实际案例选用同一文档“洗钱指标”章节中、与现有数据更匹配的一条原文：</w:t>
      </w:r>
    </w:p>
    <w:p>
      <w:pPr>
        <w:ind w:left="283"/>
      </w:pPr>
      <w:r>
        <w:t>makes rapid or complex funds transfers through multiple accounts</w:t>
      </w:r>
    </w:p>
    <w:p>
      <w:r>
        <w:t>对应含义：通过多个账户进行快速或复杂的资金转移。项目以“短时间收款后再次转出”提供调查入口，再通过后续查询检查更完整的账户结构。该实现仅覆盖文字指标中可由交易数据观察的部分。</w:t>
      </w:r>
    </w:p>
    <w:p>
      <w:r>
        <w:t>官方来源：</w:t>
      </w:r>
      <w:hyperlink r:id="rId9">
        <w:r>
          <w:rPr>
            <w:rFonts w:eastAsia="Noto Sans CJK SC"/>
            <w:color w:val="1F4E79"/>
          </w:rPr>
          <w:t>AUSTRAC 银行业可疑活动指标</w:t>
        </w:r>
      </w:hyperlink>
      <w:r>
        <w:t>。</w:t>
      </w:r>
    </w:p>
    <w:p>
      <w:pPr>
        <w:pStyle w:val="Heading2"/>
      </w:pPr>
      <w:r>
        <w:t>2 IBM 交易及参考标注</w:t>
      </w:r>
    </w:p>
    <w:p>
      <w:r>
        <w:t xml:space="preserve">采用 IBM HI-Small 公开合成数据。完整交易文件已下载并检查，共 </w:t>
      </w:r>
      <w:r>
        <w:rPr>
          <w:b/>
        </w:rPr>
        <w:t>5,078,345 笔交易</w:t>
      </w:r>
      <w:r>
        <w:t xml:space="preserve">，其中 </w:t>
      </w:r>
      <w:r>
        <w:rPr>
          <w:b/>
        </w:rPr>
        <w:t>5,177 笔被发布方标为洗钱</w:t>
      </w:r>
      <w:r>
        <w:t>。数据属于第三方研究基准，不是真实司法案件。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2"/>
        <w:gridCol w:w="3551"/>
        <w:gridCol w:w="4185"/>
      </w:tblGrid>
      <w:tr>
        <w:trPr>
          <w:tblHeader/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数据字段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使用方式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交易时间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每笔交易发生的模拟时间，精确到分钟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检查时间间隔及先后关系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付款银行、付款账号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交易发起账户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查询上游来源和账户转出记录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收款银行、收款账号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交易接收账户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查询下游去向和账户收款记录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支付金额、支付币种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付款方支付的金额及币种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展示交易及按币种核对金额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收到金额、收到币种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收款方收到的金额及币种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检查收付记录及币种变化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支付方式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ACH、Wire、Cheque 等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限定规则适用范围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洗钱标签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发布方对交易的标注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仅用于阈值验证和结果评估，不提供给调查 Agent</w:t>
            </w:r>
          </w:p>
        </w:tc>
      </w:tr>
    </w:tbl>
    <w:p>
      <w:pPr>
        <w:spacing w:after="0"/>
      </w:pPr>
    </w:p>
    <w:p>
      <w:r>
        <w:t>银行与账号共同识别账户。项目为每笔交易附加原始数据行号，确保报告可以回查来源。</w:t>
      </w:r>
    </w:p>
    <w:p>
      <w:r>
        <w:t xml:space="preserve">发布方另提供模式文件，将部分交易按循环、汇入、分散等结构分组。该文件包含 </w:t>
      </w:r>
      <w:r>
        <w:rPr>
          <w:b/>
        </w:rPr>
        <w:t>370 个分组、8 类模式及 3,209 条交易记录</w:t>
      </w:r>
      <w:r>
        <w:t>。本次核验确认，这 3,209 条记录均能唯一对应到完整交易表。模式文件不包含全部洗钱交易，也不是调查 Agent 的查询资料。</w:t>
      </w:r>
    </w:p>
    <w:p>
      <w:r>
        <w:t>来源：</w:t>
      </w:r>
      <w:hyperlink r:id="rId10">
        <w:r>
          <w:rPr>
            <w:rFonts w:eastAsia="Noto Sans CJK SC"/>
            <w:color w:val="1F4E79"/>
          </w:rPr>
          <w:t>IBM 官方项目</w:t>
        </w:r>
      </w:hyperlink>
      <w:r>
        <w:t>、</w:t>
      </w:r>
      <w:hyperlink r:id="rId11">
        <w:r>
          <w:rPr>
            <w:rFonts w:eastAsia="Noto Sans CJK SC"/>
            <w:color w:val="1F4E79"/>
          </w:rPr>
          <w:t>官方数据下载</w:t>
        </w:r>
      </w:hyperlink>
      <w:r>
        <w:t>。</w:t>
      </w:r>
    </w:p>
    <w:p>
      <w:pPr>
        <w:pStyle w:val="Heading1"/>
      </w:pPr>
      <w:r>
        <w:t>二 规则生成与阈值确定</w:t>
      </w:r>
    </w:p>
    <w:p>
      <w:pPr>
        <w:pStyle w:val="Heading2"/>
      </w:pPr>
      <w:r>
        <w:t>1 模板与草案</w:t>
      </w:r>
    </w:p>
    <w:p>
      <w:r>
        <w:t>项目预先建立三类模板：多方汇入、分散转出、收款后再次转出。模板规定检查对象、所需字段、统计方法及需要确定的数字。</w:t>
      </w:r>
    </w:p>
    <w:p>
      <w:r>
        <w:t>Agent 根据指定 AUSTRAC 段落选择模板，将行为描述对应到交易字段，生成规则草案。没有数据支持的条件列为缺失信息，不自动删除前提条件后声称完整实施官方指标。</w:t>
      </w:r>
    </w:p>
    <w:p>
      <w:pPr>
        <w:keepNext/>
      </w:pPr>
      <w:r>
        <w:t>本次实例采用以下草案：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6"/>
        <w:gridCol w:w="6911"/>
      </w:tblGrid>
      <w:tr>
        <w:trPr>
          <w:tblHeader/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规则项目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草案内容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来源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多账户快速或复杂资金转移指标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模板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收款后再次转出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检查对象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同时出现在前笔收款方及后笔付款方的账户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所需记录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前笔入账、后笔出账、双方账户及交易时间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基本条件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后笔时间晚于前笔；排除同一账户转给自身；支付方式为 ACH 或 Wire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待确定参数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两笔交易允许的最大间隔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命中含义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观察到短时间内收款后转出，需要进一步调查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未证明事项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是否为同一笔资金、是否有合理用途、是否存在违法行为</w:t>
            </w:r>
          </w:p>
        </w:tc>
      </w:tr>
    </w:tbl>
    <w:p>
      <w:pPr>
        <w:spacing w:after="0"/>
      </w:pPr>
    </w:p>
    <w:p>
      <w:pPr>
        <w:pStyle w:val="Heading2"/>
      </w:pPr>
      <w:r>
        <w:t>2 验证 冻结与测试</w:t>
      </w:r>
    </w:p>
    <w:p>
      <w:r>
        <w:t>数据按时间划分。9 月 1–2 日作为历史准备，9 月 3–6 日用于验证，9 月 7–10 日用于正式测试。数据日期为 2022 年的模拟时间。完整文件还存在 9 月 11–18 日的尾部记录，单独保留，不据其特殊时间分布设计规则。</w:t>
      </w:r>
    </w:p>
    <w:p>
      <w:r>
        <w:t>验证程序比较候选参数及发布方标签。多方汇入、分散转出比较 24/48 小时窗口及 3/5/10 个对手账户；收款后再次转出比较 6/24/48 小时间隔。评价发现的标注交易数量、告警质量及每日调查量，合并同账户同日的重复告警后选择启用组合。</w:t>
      </w:r>
    </w:p>
    <w:p>
      <w:r>
        <w:t>规则经验证后，保存来源、模板、最终参数、效果及版本，写入规则数据库，并保存版本快照。随后使用冻结规则执行测试数据。</w:t>
      </w:r>
    </w:p>
    <w:p>
      <w:r>
        <w:rPr>
          <w:b/>
        </w:rPr>
        <w:t>本次实例使用 24 小时作为可行性核查参数，尚未完成全量候选参数比较，不将其列为最优阈值或监管要求。</w:t>
      </w:r>
    </w:p>
    <w:p>
      <w:pPr>
        <w:pStyle w:val="Heading1"/>
      </w:pPr>
      <w:r>
        <w:t>三 告警 案件与后续调查的区别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2"/>
        <w:gridCol w:w="3551"/>
        <w:gridCol w:w="4185"/>
      </w:tblGrid>
      <w:tr>
        <w:trPr>
          <w:tblHeader/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要回答的问题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输出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规则命中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某些交易是否满足预设条件？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账户、命中条件及相关交易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建立案件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哪些告警和账户需要放在一起调查？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调查范围、初始问题和截止时间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扩展调查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初始记录之外，交易来自哪里、又流向哪里？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新交易、新账户、候选路径和排除依据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形成结论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已发现何种结构，证据能支持到什么程度？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已核实事实、风险解释和未决问题</w:t>
            </w:r>
          </w:p>
        </w:tc>
      </w:tr>
    </w:tbl>
    <w:p>
      <w:pPr>
        <w:spacing w:after="0"/>
      </w:pPr>
    </w:p>
    <w:p>
      <w:r>
        <w:t>初始两笔交易满足“收款后转出”只完成规则命中。必须继续查询其他账户，才能检查资金关系是否延续、是否形成闭环，以及哪些候选交易仍无法区分。</w:t>
      </w:r>
    </w:p>
    <w:p>
      <w:pPr>
        <w:pStyle w:val="Heading1"/>
      </w:pPr>
      <w:r>
        <w:t>四 实际案例 从两段转账线索扩展至五账户闭环</w:t>
      </w:r>
    </w:p>
    <w:p>
      <w:pPr>
        <w:pStyle w:val="Heading2"/>
      </w:pPr>
      <w:r>
        <w:t>1 核查范围</w:t>
      </w:r>
    </w:p>
    <w:p>
      <w:r>
        <w:t xml:space="preserve">案例取自 IBM 原始数据，所有下述记录均已在完整交易表中查询复核，没有补写交易。核查截止时刻为 </w:t>
      </w:r>
      <w:r>
        <w:rPr>
          <w:b/>
        </w:rPr>
        <w:t>2022 年 9 月 9 日 00:00</w:t>
      </w:r>
      <w:r>
        <w:t>，未使用此后的记录。案例交易发生于 9 月 7–8 日，属于预设测试日期。</w:t>
      </w:r>
    </w:p>
    <w:p>
      <w:r>
        <w:t>本次为</w:t>
      </w:r>
      <w:r>
        <w:rPr>
          <w:b/>
        </w:rPr>
        <w:t>回溯式可行性验证</w:t>
      </w:r>
      <w:r>
        <w:t>：先从发布方模式中确定核查对象，再验证无标签交易查询能否扩展出相关结构。因此，可以证明数据支持该调查过程，但不能作为 Agent 自主发现能力的盲测成绩。当前查询实际由本地程序执行，尚未由上线 Agent、Zetaris 和 Meterless 联合运行。</w:t>
      </w:r>
    </w:p>
    <w:p>
      <w:pPr>
        <w:keepNext/>
      </w:pPr>
      <w:r>
        <w:t>以下 A–E 为原始账户的显示简称，不是新增账户：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2"/>
        <w:gridCol w:w="3551"/>
        <w:gridCol w:w="4185"/>
      </w:tblGrid>
      <w:tr>
        <w:trPr>
          <w:tblHeader/>
          <w:cantSplit/>
        </w:trPr>
        <w:tc>
          <w:tcPr>
            <w:tcW w:type="dxa" w:w="1902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DCE6F1"/>
          </w:tcPr>
          <w:p>
            <w:pPr>
              <w:spacing w:after="10" w:before="10" w:line="264" w:lineRule="auto"/>
            </w:pPr>
            <w:r>
              <w:rPr>
                <w:b/>
                <w:sz w:val="20"/>
              </w:rPr>
              <w:t>简称</w:t>
            </w:r>
          </w:p>
        </w:tc>
        <w:tc>
          <w:tcPr>
            <w:tcW w:type="dxa" w:w="3551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DCE6F1"/>
          </w:tcPr>
          <w:p>
            <w:pPr>
              <w:spacing w:after="10" w:before="10" w:line="264" w:lineRule="auto"/>
            </w:pPr>
            <w:r>
              <w:rPr>
                <w:b/>
                <w:sz w:val="20"/>
              </w:rPr>
              <w:t>银行编号</w:t>
            </w:r>
          </w:p>
        </w:tc>
        <w:tc>
          <w:tcPr>
            <w:tcW w:type="dxa" w:w="418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DCE6F1"/>
          </w:tcPr>
          <w:p>
            <w:pPr>
              <w:spacing w:after="10" w:before="10" w:line="264" w:lineRule="auto"/>
            </w:pPr>
            <w:r>
              <w:rPr>
                <w:b/>
                <w:sz w:val="20"/>
              </w:rPr>
              <w:t>账号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10" w:before="10" w:line="264" w:lineRule="auto"/>
            </w:pPr>
            <w:r>
              <w:rPr>
                <w:sz w:val="20"/>
              </w:rPr>
              <w:t>A</w:t>
            </w:r>
          </w:p>
        </w:tc>
        <w:tc>
          <w:tcPr>
            <w:tcW w:type="dxa" w:w="3551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10" w:before="10" w:line="264" w:lineRule="auto"/>
            </w:pPr>
            <w:r>
              <w:rPr>
                <w:sz w:val="20"/>
              </w:rPr>
              <w:t>0215803</w:t>
            </w:r>
          </w:p>
        </w:tc>
        <w:tc>
          <w:tcPr>
            <w:tcW w:type="dxa" w:w="418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10" w:before="10" w:line="264" w:lineRule="auto"/>
            </w:pPr>
            <w:r>
              <w:rPr>
                <w:sz w:val="20"/>
              </w:rPr>
              <w:t>806CBBE20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10" w:before="10" w:line="264" w:lineRule="auto"/>
            </w:pPr>
            <w:r>
              <w:rPr>
                <w:sz w:val="20"/>
              </w:rPr>
              <w:t>B</w:t>
            </w:r>
          </w:p>
        </w:tc>
        <w:tc>
          <w:tcPr>
            <w:tcW w:type="dxa" w:w="3551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10" w:before="10" w:line="264" w:lineRule="auto"/>
            </w:pPr>
            <w:r>
              <w:rPr>
                <w:sz w:val="20"/>
              </w:rPr>
              <w:t>011107</w:t>
            </w:r>
          </w:p>
        </w:tc>
        <w:tc>
          <w:tcPr>
            <w:tcW w:type="dxa" w:w="418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10" w:before="10" w:line="264" w:lineRule="auto"/>
            </w:pPr>
            <w:r>
              <w:rPr>
                <w:sz w:val="20"/>
              </w:rPr>
              <w:t>80171C720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10" w:before="10" w:line="264" w:lineRule="auto"/>
            </w:pPr>
            <w:r>
              <w:rPr>
                <w:sz w:val="20"/>
              </w:rPr>
              <w:t>C</w:t>
            </w:r>
          </w:p>
        </w:tc>
        <w:tc>
          <w:tcPr>
            <w:tcW w:type="dxa" w:w="3551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10" w:before="10" w:line="264" w:lineRule="auto"/>
            </w:pPr>
            <w:r>
              <w:rPr>
                <w:sz w:val="20"/>
              </w:rPr>
              <w:t>018200</w:t>
            </w:r>
          </w:p>
        </w:tc>
        <w:tc>
          <w:tcPr>
            <w:tcW w:type="dxa" w:w="418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10" w:before="10" w:line="264" w:lineRule="auto"/>
            </w:pPr>
            <w:r>
              <w:rPr>
                <w:sz w:val="20"/>
              </w:rPr>
              <w:t>803118000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10" w:before="10" w:line="264" w:lineRule="auto"/>
            </w:pPr>
            <w:r>
              <w:rPr>
                <w:sz w:val="20"/>
              </w:rPr>
              <w:t>D</w:t>
            </w:r>
          </w:p>
        </w:tc>
        <w:tc>
          <w:tcPr>
            <w:tcW w:type="dxa" w:w="3551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10" w:before="10" w:line="264" w:lineRule="auto"/>
            </w:pPr>
            <w:r>
              <w:rPr>
                <w:sz w:val="20"/>
              </w:rPr>
              <w:t>002454</w:t>
            </w:r>
          </w:p>
        </w:tc>
        <w:tc>
          <w:tcPr>
            <w:tcW w:type="dxa" w:w="418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10" w:before="10" w:line="264" w:lineRule="auto"/>
            </w:pPr>
            <w:r>
              <w:rPr>
                <w:sz w:val="20"/>
              </w:rPr>
              <w:t>806E8ADD0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10" w:before="10" w:line="264" w:lineRule="auto"/>
            </w:pPr>
            <w:r>
              <w:rPr>
                <w:sz w:val="20"/>
              </w:rPr>
              <w:t>E</w:t>
            </w:r>
          </w:p>
        </w:tc>
        <w:tc>
          <w:tcPr>
            <w:tcW w:type="dxa" w:w="3551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10" w:before="10" w:line="264" w:lineRule="auto"/>
            </w:pPr>
            <w:r>
              <w:rPr>
                <w:sz w:val="20"/>
              </w:rPr>
              <w:t>0217125</w:t>
            </w:r>
          </w:p>
        </w:tc>
        <w:tc>
          <w:tcPr>
            <w:tcW w:type="dxa" w:w="418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10" w:before="10" w:line="264" w:lineRule="auto"/>
            </w:pPr>
            <w:r>
              <w:rPr>
                <w:sz w:val="20"/>
              </w:rPr>
              <w:t>8073CD950</w:t>
            </w:r>
          </w:p>
        </w:tc>
      </w:tr>
    </w:tbl>
    <w:p>
      <w:pPr>
        <w:spacing w:after="0"/>
      </w:pPr>
    </w:p>
    <w:p>
      <w:pPr>
        <w:pStyle w:val="Heading2"/>
      </w:pPr>
      <w:r>
        <w:t>2 初始告警 D 收款后 4 小时 20 分再次转出</w:t>
      </w:r>
    </w:p>
    <w:p>
      <w:pPr>
        <w:keepNext/>
      </w:pPr>
      <w:r>
        <w:t>规则检查发现：</w:t>
      </w:r>
    </w:p>
    <w:p>
      <w:pPr>
        <w:pStyle w:val="ListBullet"/>
      </w:pPr>
      <w:r>
        <w:t xml:space="preserve">9 月 8 日 12:38，C 向 D 转入两笔美元交易，金额分别为 </w:t>
      </w:r>
      <w:r>
        <w:rPr>
          <w:b/>
        </w:rPr>
        <w:t>2,915.97</w:t>
      </w:r>
      <w:r>
        <w:t xml:space="preserve"> 和 </w:t>
      </w:r>
      <w:r>
        <w:rPr>
          <w:b/>
        </w:rPr>
        <w:t>14,546.79</w:t>
      </w:r>
      <w:r>
        <w:t>。</w:t>
      </w:r>
    </w:p>
    <w:p>
      <w:pPr>
        <w:pStyle w:val="ListBullet"/>
      </w:pPr>
      <w:r>
        <w:t xml:space="preserve">当日 16:58，D 向 E 转出两笔卢布交易，金额分别为 </w:t>
      </w:r>
      <w:r>
        <w:rPr>
          <w:b/>
        </w:rPr>
        <w:t>316,105.88</w:t>
      </w:r>
      <w:r>
        <w:t xml:space="preserve"> 和 </w:t>
      </w:r>
      <w:r>
        <w:rPr>
          <w:b/>
        </w:rPr>
        <w:t>1,131,798.67</w:t>
      </w:r>
      <w:r>
        <w:t>。</w:t>
      </w:r>
    </w:p>
    <w:p>
      <w:pPr>
        <w:pStyle w:val="ListBullet"/>
      </w:pPr>
      <w:r>
        <w:t xml:space="preserve">两个时点间隔 </w:t>
      </w:r>
      <w:r>
        <w:rPr>
          <w:b/>
        </w:rPr>
        <w:t>4 小时 20 分</w:t>
      </w:r>
      <w:r>
        <w:t>，满足核查使用的 24 小时条件。</w:t>
      </w:r>
    </w:p>
    <w:p>
      <w:r>
        <w:t xml:space="preserve">两笔入账与两笔出账形成四个满足条件的交易配对，合并为围绕账户 D 的一项调查案件。此时只掌握 </w:t>
      </w:r>
      <w:r>
        <w:rPr>
          <w:b/>
        </w:rPr>
        <w:t>C → D → E</w:t>
      </w:r>
      <w:r>
        <w:t xml:space="preserve"> 的时间关系，不能认定资金回流，也不能在美元与卢布之间直接比较金额。</w:t>
      </w:r>
    </w:p>
    <w:p>
      <w:pPr>
        <w:pStyle w:val="Heading2"/>
      </w:pPr>
      <w:r>
        <w:t>3 后续查询及判断变化</w:t>
      </w:r>
    </w:p>
    <w:p>
      <w:pPr>
        <w:pStyle w:val="Heading3"/>
      </w:pPr>
      <w:r>
        <w:t>① 检查 D 的背景</w:t>
      </w:r>
    </w:p>
    <w:p>
      <w:pPr>
        <w:keepNext/>
      </w:pPr>
      <w:r>
        <w:rPr>
          <w:b/>
        </w:rPr>
        <w:t>查询目的：</w:t>
      </w:r>
      <w:r>
        <w:t>确认原始入出账并检查是否存在其他相关记录</w:t>
      </w:r>
    </w:p>
    <w:p>
      <w:pPr>
        <w:keepNext/>
      </w:pPr>
      <w:r>
        <w:rPr>
          <w:b/>
        </w:rPr>
        <w:t>查询结果：</w:t>
      </w:r>
      <w:r>
        <w:t>5 笔：两笔 C→D、两笔 D→E，另有一笔同账户收付币种不同的记录</w:t>
      </w:r>
    </w:p>
    <w:p>
      <w:pPr>
        <w:keepNext w:val="0"/>
      </w:pPr>
      <w:r>
        <w:rPr>
          <w:b/>
        </w:rPr>
        <w:t>判断与下一步：</w:t>
      </w:r>
      <w:r>
        <w:t>初始线索得到核实；存在币种变化，需要保留相关记录，尚无闭环证据</w:t>
      </w:r>
    </w:p>
    <w:p>
      <w:pPr>
        <w:pStyle w:val="Heading3"/>
      </w:pPr>
      <w:r>
        <w:t>② 查询 C 的更早入账</w:t>
      </w:r>
    </w:p>
    <w:p>
      <w:pPr>
        <w:keepNext/>
      </w:pPr>
      <w:r>
        <w:rPr>
          <w:b/>
        </w:rPr>
        <w:t>查询目的：</w:t>
      </w:r>
      <w:r>
        <w:t>确认 D 的上游 C 此前从何处收款</w:t>
      </w:r>
    </w:p>
    <w:p>
      <w:pPr>
        <w:keepNext/>
      </w:pPr>
      <w:r>
        <w:rPr>
          <w:b/>
        </w:rPr>
        <w:t>查询结果：</w:t>
      </w:r>
      <w:r>
        <w:t>9 月 7 日 19:57，B→C 两笔人民币交易</w:t>
      </w:r>
    </w:p>
    <w:p>
      <w:pPr>
        <w:keepNext w:val="0"/>
      </w:pPr>
      <w:r>
        <w:rPr>
          <w:b/>
        </w:rPr>
        <w:t>判断与下一步：</w:t>
      </w:r>
      <w:r>
        <w:t>路径向上游扩展为 B→C→D→E；继续核查 B</w:t>
      </w:r>
    </w:p>
    <w:p>
      <w:pPr>
        <w:pStyle w:val="Heading3"/>
      </w:pPr>
      <w:r>
        <w:t>③ 查询 B 的更早入账</w:t>
      </w:r>
    </w:p>
    <w:p>
      <w:pPr>
        <w:keepNext/>
      </w:pPr>
      <w:r>
        <w:rPr>
          <w:b/>
        </w:rPr>
        <w:t>查询目的：</w:t>
      </w:r>
      <w:r>
        <w:t>确认 B 的资金关系来源</w:t>
      </w:r>
    </w:p>
    <w:p>
      <w:pPr>
        <w:keepNext/>
      </w:pPr>
      <w:r>
        <w:rPr>
          <w:b/>
        </w:rPr>
        <w:t>查询结果：</w:t>
      </w:r>
      <w:r>
        <w:t>9 月 7 日 16:53，A→B 一笔美元交易</w:t>
      </w:r>
    </w:p>
    <w:p>
      <w:pPr>
        <w:keepNext w:val="0"/>
      </w:pPr>
      <w:r>
        <w:rPr>
          <w:b/>
        </w:rPr>
        <w:t>判断与下一步：</w:t>
      </w:r>
      <w:r>
        <w:t>出现新的起始账户 A；记录 A，待核对下游是否与其重新关联</w:t>
      </w:r>
    </w:p>
    <w:p>
      <w:pPr>
        <w:pStyle w:val="Heading3"/>
      </w:pPr>
      <w:r>
        <w:t>④ 查询 E 收款后的转出</w:t>
      </w:r>
    </w:p>
    <w:p>
      <w:pPr>
        <w:keepNext/>
      </w:pPr>
      <w:r>
        <w:rPr>
          <w:b/>
        </w:rPr>
        <w:t>查询目的：</w:t>
      </w:r>
      <w:r>
        <w:t>确认初始下游 E 是否继续向其他账户转账</w:t>
      </w:r>
    </w:p>
    <w:p>
      <w:pPr>
        <w:keepNext/>
      </w:pPr>
      <w:r>
        <w:rPr>
          <w:b/>
        </w:rPr>
        <w:t>查询结果：</w:t>
      </w:r>
      <w:r>
        <w:t>9 月 8 日 19:19，E→A 两笔欧元交易，另有一笔同账户收付币种不同的记录</w:t>
      </w:r>
    </w:p>
    <w:p>
      <w:pPr>
        <w:keepNext w:val="0"/>
      </w:pPr>
      <w:r>
        <w:rPr>
          <w:b/>
        </w:rPr>
        <w:t>判断与下一步：</w:t>
      </w:r>
      <w:r>
        <w:t>下游重新连接已发现的 A；由此形成候选五账户闭环</w:t>
      </w:r>
    </w:p>
    <w:p>
      <w:pPr>
        <w:pStyle w:val="Heading3"/>
      </w:pPr>
      <w:r>
        <w:t>⑤ 汇总五账户记录</w:t>
      </w:r>
    </w:p>
    <w:p>
      <w:pPr>
        <w:keepNext/>
      </w:pPr>
      <w:r>
        <w:rPr>
          <w:b/>
        </w:rPr>
        <w:t>查询目的：</w:t>
      </w:r>
      <w:r>
        <w:t>核对币种变化、平行交易及额外背景</w:t>
      </w:r>
    </w:p>
    <w:p>
      <w:pPr>
        <w:keepNext/>
      </w:pPr>
      <w:r>
        <w:rPr>
          <w:b/>
        </w:rPr>
        <w:t>查询结果：</w:t>
      </w:r>
      <w:r>
        <w:t>共 16 笔：9 笔闭环候选外部交易、5 笔同账户收付币种不同记录、2 笔 B 的其他历史转出</w:t>
      </w:r>
    </w:p>
    <w:p>
      <w:pPr>
        <w:keepNext w:val="0"/>
      </w:pPr>
      <w:r>
        <w:rPr>
          <w:b/>
        </w:rPr>
        <w:t>判断与下一步：</w:t>
      </w:r>
      <w:r>
        <w:t>不能只展示参考答案中的五笔；需保留平行候选及无法区分的部分</w:t>
      </w:r>
    </w:p>
    <w:p>
      <w:pPr>
        <w:pStyle w:val="Heading3"/>
      </w:pPr>
      <w:r>
        <w:t>⑥ 验证结构</w:t>
      </w:r>
    </w:p>
    <w:p>
      <w:pPr>
        <w:keepNext/>
      </w:pPr>
      <w:r>
        <w:rPr>
          <w:b/>
        </w:rPr>
        <w:t>查询目的：</w:t>
      </w:r>
      <w:r>
        <w:t>检查账户是否首尾相连、时间是否递增</w:t>
      </w:r>
    </w:p>
    <w:p>
      <w:pPr>
        <w:keepNext/>
      </w:pPr>
      <w:r>
        <w:rPr>
          <w:b/>
        </w:rPr>
        <w:t>查询结果：</w:t>
      </w:r>
      <w:r>
        <w:t>A→B→C→D→E→A 的账户关系成立，五个交易时点严格递增</w:t>
      </w:r>
    </w:p>
    <w:p>
      <w:pPr>
        <w:keepNext w:val="0"/>
      </w:pPr>
      <w:r>
        <w:rPr>
          <w:b/>
        </w:rPr>
        <w:t>判断与下一步：</w:t>
      </w:r>
      <w:r>
        <w:t>可以确认账户级闭环；仍不能唯一确定其中哪些金额属于发布方标注的洗钱交易</w:t>
      </w:r>
    </w:p>
    <w:p>
      <w:r>
        <w:t>第二至第四步均取得了初始告警未包含的新交易和新账户，是从规则命中扩展为案件调查的主要过程。第五步进一步暴露了多币种和平行交易的解释边界。</w:t>
      </w:r>
    </w:p>
    <w:p>
      <w:pPr>
        <w:pStyle w:val="Heading2"/>
      </w:pPr>
      <w:r>
        <w:t>4 调查取得的候选交易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12"/>
        <w:gridCol w:w="1205"/>
        <w:gridCol w:w="507"/>
        <w:gridCol w:w="2536"/>
        <w:gridCol w:w="1205"/>
        <w:gridCol w:w="2473"/>
      </w:tblGrid>
      <w:tr>
        <w:trPr>
          <w:tblHeader/>
          <w:cantSplit/>
        </w:trPr>
        <w:tc>
          <w:tcPr>
            <w:tcW w:type="dxa" w:w="17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2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18"/>
              </w:rPr>
              <w:t>账户关系</w:t>
            </w:r>
          </w:p>
        </w:tc>
        <w:tc>
          <w:tcPr>
            <w:tcW w:type="dxa" w:w="5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18"/>
              </w:rPr>
              <w:t>笔数</w:t>
            </w:r>
          </w:p>
        </w:tc>
        <w:tc>
          <w:tcPr>
            <w:tcW w:type="dxa" w:w="25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支付金额</w:t>
            </w:r>
          </w:p>
        </w:tc>
        <w:tc>
          <w:tcPr>
            <w:tcW w:type="dxa" w:w="12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18"/>
              </w:rPr>
              <w:t>币种</w:t>
            </w:r>
          </w:p>
        </w:tc>
        <w:tc>
          <w:tcPr>
            <w:tcW w:type="dxa" w:w="247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原始数据行号</w:t>
            </w:r>
          </w:p>
        </w:tc>
      </w:tr>
      <w:tr>
        <w:trPr>
          <w:cantSplit/>
        </w:trPr>
        <w:tc>
          <w:tcPr>
            <w:tcW w:type="dxa" w:w="17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2022/09/07 16:53</w:t>
            </w:r>
          </w:p>
        </w:tc>
        <w:tc>
          <w:tcPr>
            <w:tcW w:type="dxa" w:w="12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sz w:val="18"/>
              </w:rPr>
              <w:t>A → B</w:t>
            </w:r>
          </w:p>
        </w:tc>
        <w:tc>
          <w:tcPr>
            <w:tcW w:type="dxa" w:w="5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5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14,546.79</w:t>
            </w:r>
          </w:p>
        </w:tc>
        <w:tc>
          <w:tcPr>
            <w:tcW w:type="dxa" w:w="12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sz w:val="18"/>
              </w:rPr>
              <w:t>US Dollar</w:t>
            </w:r>
          </w:p>
        </w:tc>
        <w:tc>
          <w:tcPr>
            <w:tcW w:type="dxa" w:w="247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3596547</w:t>
            </w:r>
          </w:p>
        </w:tc>
      </w:tr>
      <w:tr>
        <w:trPr>
          <w:cantSplit/>
        </w:trPr>
        <w:tc>
          <w:tcPr>
            <w:tcW w:type="dxa" w:w="17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2022/09/07 19:57</w:t>
            </w:r>
          </w:p>
        </w:tc>
        <w:tc>
          <w:tcPr>
            <w:tcW w:type="dxa" w:w="12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sz w:val="18"/>
              </w:rPr>
              <w:t>B → C</w:t>
            </w:r>
          </w:p>
        </w:tc>
        <w:tc>
          <w:tcPr>
            <w:tcW w:type="dxa" w:w="5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5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8,437.40；97,428.60</w:t>
            </w:r>
          </w:p>
        </w:tc>
        <w:tc>
          <w:tcPr>
            <w:tcW w:type="dxa" w:w="12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sz w:val="18"/>
              </w:rPr>
              <w:t>Yuan</w:t>
            </w:r>
          </w:p>
        </w:tc>
        <w:tc>
          <w:tcPr>
            <w:tcW w:type="dxa" w:w="247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3596549、3596550</w:t>
            </w:r>
          </w:p>
        </w:tc>
      </w:tr>
      <w:tr>
        <w:trPr>
          <w:cantSplit/>
        </w:trPr>
        <w:tc>
          <w:tcPr>
            <w:tcW w:type="dxa" w:w="17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2022/09/08 12:38</w:t>
            </w:r>
          </w:p>
        </w:tc>
        <w:tc>
          <w:tcPr>
            <w:tcW w:type="dxa" w:w="12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sz w:val="18"/>
              </w:rPr>
              <w:t>C → D</w:t>
            </w:r>
          </w:p>
        </w:tc>
        <w:tc>
          <w:tcPr>
            <w:tcW w:type="dxa" w:w="5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5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2,915.97；14,546.79</w:t>
            </w:r>
          </w:p>
        </w:tc>
        <w:tc>
          <w:tcPr>
            <w:tcW w:type="dxa" w:w="12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sz w:val="18"/>
              </w:rPr>
              <w:t>US Dollar</w:t>
            </w:r>
          </w:p>
        </w:tc>
        <w:tc>
          <w:tcPr>
            <w:tcW w:type="dxa" w:w="247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3596552、3596553</w:t>
            </w:r>
          </w:p>
        </w:tc>
      </w:tr>
      <w:tr>
        <w:trPr>
          <w:cantSplit/>
        </w:trPr>
        <w:tc>
          <w:tcPr>
            <w:tcW w:type="dxa" w:w="17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2022/09/08 16:58</w:t>
            </w:r>
          </w:p>
        </w:tc>
        <w:tc>
          <w:tcPr>
            <w:tcW w:type="dxa" w:w="12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sz w:val="18"/>
              </w:rPr>
              <w:t>D → E</w:t>
            </w:r>
          </w:p>
        </w:tc>
        <w:tc>
          <w:tcPr>
            <w:tcW w:type="dxa" w:w="5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5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316,105.88；1,131,798.67</w:t>
            </w:r>
          </w:p>
        </w:tc>
        <w:tc>
          <w:tcPr>
            <w:tcW w:type="dxa" w:w="12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sz w:val="18"/>
              </w:rPr>
              <w:t>Ruble</w:t>
            </w:r>
          </w:p>
        </w:tc>
        <w:tc>
          <w:tcPr>
            <w:tcW w:type="dxa" w:w="247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3596555、3596556</w:t>
            </w:r>
          </w:p>
        </w:tc>
      </w:tr>
      <w:tr>
        <w:trPr>
          <w:cantSplit/>
        </w:trPr>
        <w:tc>
          <w:tcPr>
            <w:tcW w:type="dxa" w:w="17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2022/09/08 19:19</w:t>
            </w:r>
          </w:p>
        </w:tc>
        <w:tc>
          <w:tcPr>
            <w:tcW w:type="dxa" w:w="12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sz w:val="18"/>
              </w:rPr>
              <w:t>E → A</w:t>
            </w:r>
          </w:p>
        </w:tc>
        <w:tc>
          <w:tcPr>
            <w:tcW w:type="dxa" w:w="5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5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3,057.54；12,414.23</w:t>
            </w:r>
          </w:p>
        </w:tc>
        <w:tc>
          <w:tcPr>
            <w:tcW w:type="dxa" w:w="12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sz w:val="18"/>
              </w:rPr>
              <w:t>Euro</w:t>
            </w:r>
          </w:p>
        </w:tc>
        <w:tc>
          <w:tcPr>
            <w:tcW w:type="dxa" w:w="247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3596558、3596559</w:t>
            </w:r>
          </w:p>
        </w:tc>
      </w:tr>
    </w:tbl>
    <w:p>
      <w:pPr>
        <w:spacing w:after="0"/>
      </w:pPr>
    </w:p>
    <w:p>
      <w:pPr>
        <w:keepNext/>
      </w:pPr>
      <w:r>
        <w:t>账户级路径为：</w:t>
      </w:r>
    </w:p>
    <w:p>
      <w:r>
        <w:rPr>
          <w:b/>
        </w:rPr>
        <w:t>A → B → C → D → E → A</w:t>
      </w:r>
    </w:p>
    <w:p>
      <w:r>
        <w:t xml:space="preserve">首笔至末笔间隔 </w:t>
      </w:r>
      <w:r>
        <w:rPr>
          <w:b/>
        </w:rPr>
        <w:t>26 小时 26 分</w:t>
      </w:r>
      <w:r>
        <w:t>。初始告警只涉及其中 C→D 和 D→E，后续查询补充了 A→B、B→C 和 E→A。</w:t>
      </w:r>
    </w:p>
    <w:p>
      <w:r>
        <w:t>这些记录包含多个币种。进一步查询确实发现五笔同账户、不同收付币种的记录，可作为币种变化的补充证据；由于缺少完整余额、兑换背景及资金归属信息，仍不能证明闭环中的每笔转账都是同一笔资金。</w:t>
      </w:r>
    </w:p>
    <w:p>
      <w:pPr>
        <w:pStyle w:val="Heading2"/>
      </w:pPr>
      <w:r>
        <w:t>5 调查结论</w:t>
      </w:r>
    </w:p>
    <w:p>
      <w:r>
        <w:t>在核查截止时刻之前，五个账户之间存在按时间递增的闭环转账关系。初始“短时间收款后转出”告警能够通过上游及下游查询扩展为完整账户结构调查。该结构与多账户复杂资金转移指标相关，具有进一步复核价值。</w:t>
      </w:r>
    </w:p>
    <w:p>
      <w:r>
        <w:t>本案同时存在不同金额的平行交易。现有查询能够定位五账户闭环及 9 笔候选外部交易，但不足以唯一确定各笔交易的洗钱属性，也不能认定贸易型洗钱、跨境回流、共同受益所有权或现实犯罪事实。</w:t>
      </w:r>
    </w:p>
    <w:p>
      <w:pPr>
        <w:pStyle w:val="Heading1"/>
      </w:pPr>
      <w:r>
        <w:t>五 与参考答案比较及调查修正</w:t>
      </w:r>
    </w:p>
    <w:p>
      <w:pPr>
        <w:keepNext/>
      </w:pPr>
      <w:r>
        <w:t>调查结果完成后，单独读取发布方模式文件。该案例对应第 248 个模式分组，类型为 CYCLE，标注的五笔原始行号为：</w:t>
      </w:r>
    </w:p>
    <w:p>
      <w:r>
        <w:rPr>
          <w:b/>
        </w:rPr>
        <w:t>3596547、3596550、3596553、3596556、3596559</w:t>
      </w:r>
      <w: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6"/>
        <w:gridCol w:w="6911"/>
      </w:tblGrid>
      <w:tr>
        <w:trPr>
          <w:tblHeader/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对比项目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本次核查结果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账户结构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查询重建的五账户闭环与参考模式一致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参考模式交易是否存在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五笔均可在完整交易表唯一定位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调查候选是否覆盖参考交易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9 笔候选中包含全部 5 笔参考交易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是否准确排除了其余候选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否；另外 4 笔候选不属于该参考模式，查询过程没有足够依据提前剔除</w:t>
            </w:r>
          </w:p>
        </w:tc>
      </w:tr>
      <w:tr>
        <w:trPr>
          <w:cantSplit/>
        </w:trPr>
        <w:tc>
          <w:tcPr>
            <w:tcW w:type="dxa" w:w="2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交易集合重合情况</w:t>
            </w:r>
          </w:p>
        </w:tc>
        <w:tc>
          <w:tcPr>
            <w:tcW w:type="dxa" w:w="69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参考交易覆盖率为 5/5；候选中属于该模式的比例为 5/9，即 55.56%。仅描述本例，不是总体检测成绩</w:t>
            </w:r>
          </w:p>
        </w:tc>
      </w:tr>
    </w:tbl>
    <w:p>
      <w:pPr>
        <w:spacing w:after="0"/>
      </w:pPr>
    </w:p>
    <w:p>
      <w:r>
        <w:t>结果说明：账户结构定位可行，但交易级区分仍需验证。后续在验证数据中，应检查平行交易的金额特征、历史背景及币种变化是否能提供稳定的区分依据；如果不能，应继续报告候选集合与不确定性，不能通过隐藏标签强行选择五笔交易。</w:t>
      </w:r>
    </w:p>
    <w:p>
      <w:r>
        <w:t>验证阶段允许据此调整规则或调查步骤。正式测试阶段则先冻结流程、完成调查，再揭示答案；根据测试答案修改后的版本，需要使用未参与调试的数据重新评价。</w:t>
      </w:r>
    </w:p>
    <w:p>
      <w:pPr>
        <w:pStyle w:val="Heading1"/>
      </w:pPr>
      <w:r>
        <w:t>六 赞助商软件在流程中的作用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2"/>
        <w:gridCol w:w="3551"/>
        <w:gridCol w:w="4185"/>
      </w:tblGrid>
      <w:tr>
        <w:trPr>
          <w:tblHeader/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软件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承担的环节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在本案例中的具体用途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Zetaris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统一查询交易、规则及证据来源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执行 D 的账户查询、C/B 上游查询、E 下游查询，以及交易与规则来源的联合查询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Meterless Markovian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组织逐步调查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每轮根据当前结果调用模型选择下一项动作，执行后进入下一轮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Meterless H-MEM</w:t>
            </w:r>
          </w:p>
        </w:tc>
        <w:tc>
          <w:tcPr>
            <w:tcW w:type="dxa" w:w="3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保存与召回本案记忆</w:t>
            </w:r>
          </w:p>
        </w:tc>
        <w:tc>
          <w:tcPr>
            <w:tcW w:type="dxa" w:w="41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64" w:lineRule="auto"/>
            </w:pPr>
            <w:r>
              <w:rPr>
                <w:sz w:val="20"/>
              </w:rPr>
              <w:t>保存“已查 C/B、已发现 A、E 尚待核查”等带证据来源的摘要，支持后续继续调查</w:t>
            </w:r>
          </w:p>
        </w:tc>
      </w:tr>
    </w:tbl>
    <w:p>
      <w:pPr>
        <w:spacing w:after="0"/>
      </w:pPr>
    </w:p>
    <w:p>
      <w:r>
        <w:t>实际交易关系仍由查询返回，闭环由程序核对，模型负责选择调查方向和解释结果。软件接入完成后，应使用同样的交易、截止时间和查询范围重跑本案例，并保存实际执行记录。</w:t>
      </w:r>
    </w:p>
    <w:p>
      <w:pPr>
        <w:pStyle w:val="Heading1"/>
      </w:pPr>
      <w:r>
        <w:t>附录 核查记录</w:t>
      </w:r>
    </w:p>
    <w:p>
      <w:pPr>
        <w:pStyle w:val="ListBullet"/>
      </w:pPr>
      <w:r>
        <w:t>完整数据统计：</w:t>
      </w:r>
      <w:hyperlink r:id="rId12">
        <w:r>
          <w:rPr>
            <w:rFonts w:eastAsia="Noto Sans CJK SC"/>
            <w:color w:val="1F4E79"/>
          </w:rPr>
          <w:t>full_file_profile.json</w:t>
        </w:r>
      </w:hyperlink>
    </w:p>
    <w:p>
      <w:pPr>
        <w:pStyle w:val="ListBullet"/>
      </w:pPr>
      <w:r>
        <w:t>本案例核查结果：</w:t>
      </w:r>
      <w:hyperlink r:id="rId13">
        <w:r>
          <w:rPr>
            <w:rFonts w:eastAsia="Noto Sans CJK SC"/>
            <w:color w:val="1F4E79"/>
          </w:rPr>
          <w:t>case_verification.json</w:t>
        </w:r>
      </w:hyperlink>
    </w:p>
    <w:p>
      <w:pPr>
        <w:pStyle w:val="ListBullet"/>
      </w:pPr>
      <w:r>
        <w:t>规则命中配对：</w:t>
      </w:r>
      <w:hyperlink r:id="rId14">
        <w:r>
          <w:rPr>
            <w:rFonts w:eastAsia="Noto Sans CJK SC"/>
            <w:color w:val="1F4E79"/>
          </w:rPr>
          <w:t>Q00_rule_hit.csv</w:t>
        </w:r>
      </w:hyperlink>
    </w:p>
    <w:p>
      <w:pPr>
        <w:pStyle w:val="ListBullet"/>
      </w:pPr>
      <w:r>
        <w:t>D 的账户查询：</w:t>
      </w:r>
      <w:hyperlink r:id="rId15">
        <w:r>
          <w:rPr>
            <w:rFonts w:eastAsia="Noto Sans CJK SC"/>
            <w:color w:val="1F4E79"/>
          </w:rPr>
          <w:t>Q01_focus_D.csv</w:t>
        </w:r>
      </w:hyperlink>
    </w:p>
    <w:p>
      <w:pPr>
        <w:pStyle w:val="ListBullet"/>
      </w:pPr>
      <w:r>
        <w:t>C 的上游查询：</w:t>
      </w:r>
      <w:hyperlink r:id="rId16">
        <w:r>
          <w:rPr>
            <w:rFonts w:eastAsia="Noto Sans CJK SC"/>
            <w:color w:val="1F4E79"/>
          </w:rPr>
          <w:t>Q02_upstream_C.csv</w:t>
        </w:r>
      </w:hyperlink>
    </w:p>
    <w:p>
      <w:pPr>
        <w:pStyle w:val="ListBullet"/>
      </w:pPr>
      <w:r>
        <w:t>B 的上游查询：</w:t>
      </w:r>
      <w:hyperlink r:id="rId17">
        <w:r>
          <w:rPr>
            <w:rFonts w:eastAsia="Noto Sans CJK SC"/>
            <w:color w:val="1F4E79"/>
          </w:rPr>
          <w:t>Q03_upstream_B.csv</w:t>
        </w:r>
      </w:hyperlink>
    </w:p>
    <w:p>
      <w:pPr>
        <w:pStyle w:val="ListBullet"/>
      </w:pPr>
      <w:r>
        <w:t>E 的下游查询：</w:t>
      </w:r>
      <w:hyperlink r:id="rId18">
        <w:r>
          <w:rPr>
            <w:rFonts w:eastAsia="Noto Sans CJK SC"/>
            <w:color w:val="1F4E79"/>
          </w:rPr>
          <w:t>Q04_downstream_E.csv</w:t>
        </w:r>
      </w:hyperlink>
    </w:p>
    <w:p>
      <w:pPr>
        <w:pStyle w:val="ListBullet"/>
      </w:pPr>
      <w:r>
        <w:t>五账户完整背景：</w:t>
      </w:r>
      <w:hyperlink r:id="rId19">
        <w:r>
          <w:rPr>
            <w:rFonts w:eastAsia="Noto Sans CJK SC"/>
            <w:color w:val="1F4E79"/>
          </w:rPr>
          <w:t>Q05_all_five_accounts.csv</w:t>
        </w:r>
      </w:hyperlink>
    </w:p>
    <w:p>
      <w:r>
        <w:t>本次完成完整数据及实际查询可行性核查；阈值优化、模型动作选择和赞助商环境联调仍属后续实施工作。</w:t>
      </w:r>
    </w:p>
    <w:sectPr w:rsidR="00FC693F" w:rsidRPr="0006063C" w:rsidSect="00034616">
      <w:footerReference w:type="default" r:id="rId2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cstheme="majorBidi" w:ascii="Noto Sans CJK SC" w:hAnsi="Noto Sans CJK SC" w:eastAsia="Noto Sans CJK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Noto Sans CJK SC"/>
        <w:b/>
        <w:bCs/>
      </w:rPr>
    </w:tblStylePr>
    <w:tblStylePr w:type="lastCol">
      <w:rPr>
        <w:rFonts w:cstheme="majorBidi" w:eastAsia="Noto Sans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Noto Sans CJK SC"/>
        <w:b/>
        <w:bCs/>
      </w:rPr>
    </w:tblStylePr>
    <w:tblStylePr w:type="lastCol">
      <w:rPr>
        <w:rFonts w:cstheme="majorBidi" w:eastAsia="Noto Sans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Noto Sans CJK SC"/>
        <w:b/>
        <w:bCs/>
      </w:rPr>
    </w:tblStylePr>
    <w:tblStylePr w:type="lastCol">
      <w:rPr>
        <w:rFonts w:cstheme="majorBidi" w:eastAsia="Noto Sans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Noto Sans CJK SC"/>
        <w:b/>
        <w:bCs/>
      </w:rPr>
    </w:tblStylePr>
    <w:tblStylePr w:type="lastCol">
      <w:rPr>
        <w:rFonts w:cstheme="majorBidi" w:eastAsia="Noto Sans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Noto Sans CJK SC"/>
        <w:b/>
        <w:bCs/>
      </w:rPr>
    </w:tblStylePr>
    <w:tblStylePr w:type="lastCol">
      <w:rPr>
        <w:rFonts w:cstheme="majorBidi" w:eastAsia="Noto Sans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Noto Sans CJK SC"/>
        <w:b/>
        <w:bCs/>
      </w:rPr>
    </w:tblStylePr>
    <w:tblStylePr w:type="lastCol">
      <w:rPr>
        <w:rFonts w:cstheme="majorBidi" w:eastAsia="Noto Sans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Noto Sans CJK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Noto Sans CJK SC"/>
        <w:b/>
        <w:bCs/>
      </w:rPr>
    </w:tblStylePr>
    <w:tblStylePr w:type="lastCol">
      <w:rPr>
        <w:rFonts w:cstheme="majorBidi" w:eastAsia="Noto Sans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ustrac.gov.au/industry-and-business/education-and-resources/publications-and-resources/indicators-suspicious-activity-banking-sector" TargetMode="External"/><Relationship Id="rId10" Type="http://schemas.openxmlformats.org/officeDocument/2006/relationships/hyperlink" Target="https://github.com/IBM/AML-Data" TargetMode="External"/><Relationship Id="rId11" Type="http://schemas.openxmlformats.org/officeDocument/2006/relationships/hyperlink" Target="https://www.kaggle.com/datasets/ealtman2019/ibm-transactions-for-anti-money-laundering-aml" TargetMode="External"/><Relationship Id="rId12" Type="http://schemas.openxmlformats.org/officeDocument/2006/relationships/hyperlink" Target="file:///Users/hailee/Documents/ChatGPT/Hackson/analysis/ibm_case/full_file_profile.json" TargetMode="External"/><Relationship Id="rId13" Type="http://schemas.openxmlformats.org/officeDocument/2006/relationships/hyperlink" Target="file:///Users/hailee/Documents/ChatGPT/Hackson/analysis/ibm_case/case_verification.json" TargetMode="External"/><Relationship Id="rId14" Type="http://schemas.openxmlformats.org/officeDocument/2006/relationships/hyperlink" Target="file:///Users/hailee/Documents/ChatGPT/Hackson/analysis/ibm_case/Q00_rule_hit.csv" TargetMode="External"/><Relationship Id="rId15" Type="http://schemas.openxmlformats.org/officeDocument/2006/relationships/hyperlink" Target="file:///Users/hailee/Documents/ChatGPT/Hackson/analysis/ibm_case/Q01_focus_D.csv" TargetMode="External"/><Relationship Id="rId16" Type="http://schemas.openxmlformats.org/officeDocument/2006/relationships/hyperlink" Target="file:///Users/hailee/Documents/ChatGPT/Hackson/analysis/ibm_case/Q02_upstream_C.csv" TargetMode="External"/><Relationship Id="rId17" Type="http://schemas.openxmlformats.org/officeDocument/2006/relationships/hyperlink" Target="file:///Users/hailee/Documents/ChatGPT/Hackson/analysis/ibm_case/Q03_upstream_B.csv" TargetMode="External"/><Relationship Id="rId18" Type="http://schemas.openxmlformats.org/officeDocument/2006/relationships/hyperlink" Target="file:///Users/hailee/Documents/ChatGPT/Hackson/analysis/ibm_case/Q04_downstream_E.csv" TargetMode="External"/><Relationship Id="rId19" Type="http://schemas.openxmlformats.org/officeDocument/2006/relationships/hyperlink" Target="file:///Users/hailee/Documents/ChatGPT/Hackson/analysis/ibm_case/Q05_all_five_accounts.csv" TargetMode="Externa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资金异常监测与案件调查实施方案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