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IBM 交易风险调查项目可行性报告</w:t>
      </w:r>
    </w:p>
    <w:p>
      <w:r>
        <w:t>本方案使用 IBM 交易数据与 AUSTRAC 风险指标，建立从规则生成、初始告警、Agent 动态调查到规则完善和案件展示的完整流程。开发阶段形成规则与调查策略，验证阶段自动评估正式规则，测试阶段执行冻结版本并展示案件。规则更新采用自动处理流程，不设置人工审批环节。</w:t>
      </w:r>
    </w:p>
    <w:p>
      <w:pPr>
        <w:pStyle w:val="Heading1"/>
      </w:pPr>
      <w:r>
        <w:t>一 IBM字段和业务含义</w:t>
      </w:r>
    </w:p>
    <w:p>
      <w:r>
        <w:t>IBM 数据以单笔交易为一行，记录付款账户、收款账户、时间、金额、币种和支付方式。账户与银行编号组合用于关联交易，上下游路径由多笔交易连接形成。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02"/>
        <w:gridCol w:w="3551"/>
        <w:gridCol w:w="4185"/>
      </w:tblGrid>
      <w:tr>
        <w:trPr>
          <w:tblHeader/>
          <w:cantSplit/>
        </w:trPr>
        <w:tc>
          <w:tcPr>
            <w:tcW w:type="dxa" w:w="19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CE6F1"/>
          </w:tcPr>
          <w:p>
            <w:pPr>
              <w:spacing w:after="40" w:before="40" w:line="264" w:lineRule="auto"/>
            </w:pPr>
            <w:r>
              <w:rPr>
                <w:b/>
                <w:sz w:val="20"/>
              </w:rPr>
              <w:t>原始字段</w:t>
            </w:r>
          </w:p>
        </w:tc>
        <w:tc>
          <w:tcPr>
            <w:tcW w:type="dxa" w:w="355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CE6F1"/>
          </w:tcPr>
          <w:p>
            <w:pPr>
              <w:spacing w:after="40" w:before="40" w:line="264" w:lineRule="auto"/>
            </w:pPr>
            <w:r>
              <w:rPr>
                <w:b/>
                <w:sz w:val="20"/>
              </w:rPr>
              <w:t>业务含义</w:t>
            </w:r>
          </w:p>
        </w:tc>
        <w:tc>
          <w:tcPr>
            <w:tcW w:type="dxa" w:w="418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CE6F1"/>
          </w:tcPr>
          <w:p>
            <w:pPr>
              <w:spacing w:after="40" w:before="40" w:line="264" w:lineRule="auto"/>
            </w:pPr>
            <w:r>
              <w:rPr>
                <w:b/>
                <w:sz w:val="20"/>
              </w:rPr>
              <w:t>在项目中的用途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Timestamp</w:t>
            </w:r>
          </w:p>
        </w:tc>
        <w:tc>
          <w:tcPr>
            <w:tcW w:type="dxa" w:w="355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交易发生时间</w:t>
            </w:r>
          </w:p>
        </w:tc>
        <w:tc>
          <w:tcPr>
            <w:tcW w:type="dxa" w:w="418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计算收付间隔、统计窗口和路径顺序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From Bank</w:t>
            </w:r>
          </w:p>
        </w:tc>
        <w:tc>
          <w:tcPr>
            <w:tcW w:type="dxa" w:w="355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付款银行编号</w:t>
            </w:r>
          </w:p>
        </w:tc>
        <w:tc>
          <w:tcPr>
            <w:tcW w:type="dxa" w:w="418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与付款账户组成账户唯一键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Account 付款侧</w:t>
            </w:r>
          </w:p>
        </w:tc>
        <w:tc>
          <w:tcPr>
            <w:tcW w:type="dxa" w:w="355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付款账户编号</w:t>
            </w:r>
          </w:p>
        </w:tc>
        <w:tc>
          <w:tcPr>
            <w:tcW w:type="dxa" w:w="418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追溯资金来源和付款对象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To Bank</w:t>
            </w:r>
          </w:p>
        </w:tc>
        <w:tc>
          <w:tcPr>
            <w:tcW w:type="dxa" w:w="355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收款银行编号</w:t>
            </w:r>
          </w:p>
        </w:tc>
        <w:tc>
          <w:tcPr>
            <w:tcW w:type="dxa" w:w="418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与收款账户组成账户唯一键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Account 收款侧</w:t>
            </w:r>
          </w:p>
        </w:tc>
        <w:tc>
          <w:tcPr>
            <w:tcW w:type="dxa" w:w="355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收款账户编号</w:t>
            </w:r>
          </w:p>
        </w:tc>
        <w:tc>
          <w:tcPr>
            <w:tcW w:type="dxa" w:w="418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追踪资金去向和收款来源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Amount Paid</w:t>
            </w:r>
          </w:p>
        </w:tc>
        <w:tc>
          <w:tcPr>
            <w:tcW w:type="dxa" w:w="355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付款金额</w:t>
            </w:r>
          </w:p>
        </w:tc>
        <w:tc>
          <w:tcPr>
            <w:tcW w:type="dxa" w:w="418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识别分币种高额、小额和累计付款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Payment Currency</w:t>
            </w:r>
          </w:p>
        </w:tc>
        <w:tc>
          <w:tcPr>
            <w:tcW w:type="dxa" w:w="355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付款币种</w:t>
            </w:r>
          </w:p>
        </w:tc>
        <w:tc>
          <w:tcPr>
            <w:tcW w:type="dxa" w:w="418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确定付款金额的统计口径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Amount Received</w:t>
            </w:r>
          </w:p>
        </w:tc>
        <w:tc>
          <w:tcPr>
            <w:tcW w:type="dxa" w:w="355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收款金额</w:t>
            </w:r>
          </w:p>
        </w:tc>
        <w:tc>
          <w:tcPr>
            <w:tcW w:type="dxa" w:w="418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分析入账规模与累计入账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Receiving Currency</w:t>
            </w:r>
          </w:p>
        </w:tc>
        <w:tc>
          <w:tcPr>
            <w:tcW w:type="dxa" w:w="355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收款币种</w:t>
            </w:r>
          </w:p>
        </w:tc>
        <w:tc>
          <w:tcPr>
            <w:tcW w:type="dxa" w:w="418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确定入账口径及币种变化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Payment Format</w:t>
            </w:r>
          </w:p>
        </w:tc>
        <w:tc>
          <w:tcPr>
            <w:tcW w:type="dxa" w:w="355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支付方式</w:t>
            </w:r>
          </w:p>
        </w:tc>
        <w:tc>
          <w:tcPr>
            <w:tcW w:type="dxa" w:w="418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区分ACH、Wire等交易方式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Is Laundering</w:t>
            </w:r>
          </w:p>
        </w:tc>
        <w:tc>
          <w:tcPr>
            <w:tcW w:type="dxa" w:w="355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是否属于模拟洗钱交易</w:t>
            </w:r>
          </w:p>
        </w:tc>
        <w:tc>
          <w:tcPr>
            <w:tcW w:type="dxa" w:w="418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用于离线规则校准及结果评估</w:t>
            </w:r>
          </w:p>
        </w:tc>
      </w:tr>
    </w:tbl>
    <w:p>
      <w:pPr>
        <w:spacing w:after="0"/>
      </w:pPr>
    </w:p>
    <w:p>
      <w:r>
        <w:t>原始表的两个账户列同名，接入时分别命名为付款账户和收款账户。金额按币种统计，不直接汇总不同币种。数据不包含客户身份、实际控制人、国家、开户日期、余额、合同或交易目的；相应判断列为未核实条件。</w:t>
      </w:r>
    </w:p>
    <w:p>
      <w:r>
        <w:t>标签不作为告警规则和在线调查的输入。Agent先依据可见交易开展调查，再由独立评估程序对照标签，统计新增发现的打标交易。</w:t>
      </w:r>
    </w:p>
    <w:p>
      <w:r>
        <w:t>数据来源：</w:t>
      </w:r>
      <w:hyperlink r:id="rId9">
        <w:r>
          <w:rPr>
            <w:rFonts w:eastAsia="Noto Sans CJK SC"/>
            <w:color w:val="1F4E79"/>
          </w:rPr>
          <w:t>IBM官方数据集</w:t>
        </w:r>
      </w:hyperlink>
      <w:r>
        <w:t>。</w:t>
      </w:r>
    </w:p>
    <w:p>
      <w:pPr>
        <w:pStyle w:val="Heading1"/>
      </w:pPr>
      <w:r>
        <w:t>二 AUSTRAC规则文本与字段适配</w:t>
      </w:r>
    </w:p>
    <w:p>
      <w:r>
        <w:t>下表为可以使用或提取部分条件的AUSTRAC指标。规则描述采用中文转述，原文链接列可直接打开来源。项目依据这些文本形成监测条件；时间窗口、账户数量和金额阈值通过开发与验证确定。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06"/>
        <w:gridCol w:w="2728"/>
        <w:gridCol w:w="3031"/>
        <w:gridCol w:w="2425"/>
        <w:gridCol w:w="849"/>
      </w:tblGrid>
      <w:tr>
        <w:trPr>
          <w:tblHeader/>
          <w:cantSplit/>
        </w:trPr>
        <w:tc>
          <w:tcPr>
            <w:tcW w:type="dxa" w:w="6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CE6F1"/>
          </w:tcPr>
          <w:p>
            <w:pPr>
              <w:spacing w:after="40" w:before="40" w:line="264" w:lineRule="auto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type="dxa" w:w="27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CE6F1"/>
          </w:tcPr>
          <w:p>
            <w:pPr>
              <w:spacing w:after="40" w:before="40" w:line="264" w:lineRule="auto"/>
            </w:pPr>
            <w:r>
              <w:rPr>
                <w:b/>
                <w:sz w:val="18"/>
              </w:rPr>
              <w:t>AUSTRAC规则描述</w:t>
            </w:r>
          </w:p>
        </w:tc>
        <w:tc>
          <w:tcPr>
            <w:tcW w:type="dxa" w:w="303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CE6F1"/>
          </w:tcPr>
          <w:p>
            <w:pPr>
              <w:spacing w:after="40" w:before="40" w:line="264" w:lineRule="auto"/>
            </w:pPr>
            <w:r>
              <w:rPr>
                <w:b/>
                <w:sz w:val="18"/>
              </w:rPr>
              <w:t>IBM字段与计算条件</w:t>
            </w:r>
          </w:p>
        </w:tc>
        <w:tc>
          <w:tcPr>
            <w:tcW w:type="dxa" w:w="242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CE6F1"/>
          </w:tcPr>
          <w:p>
            <w:pPr>
              <w:spacing w:after="40" w:before="40" w:line="264" w:lineRule="auto"/>
            </w:pPr>
            <w:r>
              <w:rPr>
                <w:b/>
                <w:sz w:val="18"/>
              </w:rPr>
              <w:t>适配边界</w:t>
            </w:r>
          </w:p>
        </w:tc>
        <w:tc>
          <w:tcPr>
            <w:tcW w:type="dxa" w:w="84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CE6F1"/>
          </w:tcPr>
          <w:p>
            <w:pPr>
              <w:spacing w:after="40" w:before="40" w:line="264" w:lineRule="auto"/>
            </w:pPr>
            <w:r>
              <w:rPr>
                <w:b/>
                <w:sz w:val="18"/>
              </w:rPr>
              <w:t>原文</w:t>
            </w:r>
          </w:p>
        </w:tc>
      </w:tr>
      <w:tr>
        <w:trPr>
          <w:cantSplit/>
        </w:trPr>
        <w:tc>
          <w:tcPr>
            <w:tcW w:type="dxa" w:w="6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R01</w:t>
            </w:r>
          </w:p>
        </w:tc>
        <w:tc>
          <w:tcPr>
            <w:tcW w:type="dxa" w:w="27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多账户快速或复杂资金转移</w:t>
            </w:r>
          </w:p>
        </w:tc>
        <w:tc>
          <w:tcPr>
            <w:tcW w:type="dxa" w:w="303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账户、时间；检查快速中转及多跳</w:t>
            </w:r>
          </w:p>
        </w:tc>
        <w:tc>
          <w:tcPr>
            <w:tcW w:type="dxa" w:w="242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行为可计算；复杂程度由项目定义</w:t>
            </w:r>
          </w:p>
        </w:tc>
        <w:tc>
          <w:tcPr>
            <w:tcW w:type="dxa" w:w="84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hyperlink r:id="rId10">
              <w:r>
                <w:rPr>
                  <w:rFonts w:eastAsia="Noto Sans CJK SC"/>
                  <w:color w:val="1F4E79"/>
                </w:rPr>
                <w:t>银行</w:t>
              </w:r>
            </w:hyperlink>
          </w:p>
        </w:tc>
      </w:tr>
      <w:tr>
        <w:trPr>
          <w:cantSplit/>
        </w:trPr>
        <w:tc>
          <w:tcPr>
            <w:tcW w:type="dxa" w:w="6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R02</w:t>
            </w:r>
          </w:p>
        </w:tc>
        <w:tc>
          <w:tcPr>
            <w:tcW w:type="dxa" w:w="27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账户接收资金并转发给其他账户</w:t>
            </w:r>
          </w:p>
        </w:tc>
        <w:tc>
          <w:tcPr>
            <w:tcW w:type="dxa" w:w="303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账户、时间；检查A→B→C</w:t>
            </w:r>
          </w:p>
        </w:tc>
        <w:tc>
          <w:tcPr>
            <w:tcW w:type="dxa" w:w="242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行为可计算；无法认定同一资金</w:t>
            </w:r>
          </w:p>
        </w:tc>
        <w:tc>
          <w:tcPr>
            <w:tcW w:type="dxa" w:w="84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hyperlink r:id="rId11">
              <w:r>
                <w:rPr>
                  <w:rFonts w:eastAsia="Noto Sans CJK SC"/>
                  <w:color w:val="1F4E79"/>
                </w:rPr>
                <w:t>会计</w:t>
              </w:r>
            </w:hyperlink>
          </w:p>
        </w:tc>
      </w:tr>
      <w:tr>
        <w:trPr>
          <w:cantSplit/>
        </w:trPr>
        <w:tc>
          <w:tcPr>
            <w:tcW w:type="dxa" w:w="6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R03</w:t>
            </w:r>
          </w:p>
        </w:tc>
        <w:tc>
          <w:tcPr>
            <w:tcW w:type="dxa" w:w="27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多来源资金汇集到同一账户</w:t>
            </w:r>
          </w:p>
        </w:tc>
        <w:tc>
          <w:tcPr>
            <w:tcW w:type="dxa" w:w="303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账户、时间；统计不同付款账户数</w:t>
            </w:r>
          </w:p>
        </w:tc>
        <w:tc>
          <w:tcPr>
            <w:tcW w:type="dxa" w:w="242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账户级可计算；未验证客户及行业身份</w:t>
            </w:r>
          </w:p>
        </w:tc>
        <w:tc>
          <w:tcPr>
            <w:tcW w:type="dxa" w:w="84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hyperlink r:id="rId12">
              <w:r>
                <w:rPr>
                  <w:rFonts w:eastAsia="Noto Sans CJK SC"/>
                  <w:color w:val="1F4E79"/>
                </w:rPr>
                <w:t>财务规划</w:t>
              </w:r>
            </w:hyperlink>
          </w:p>
        </w:tc>
      </w:tr>
      <w:tr>
        <w:trPr>
          <w:cantSplit/>
        </w:trPr>
        <w:tc>
          <w:tcPr>
            <w:tcW w:type="dxa" w:w="6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R04</w:t>
            </w:r>
          </w:p>
        </w:tc>
        <w:tc>
          <w:tcPr>
            <w:tcW w:type="dxa" w:w="27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短期内发生大额入账</w:t>
            </w:r>
          </w:p>
        </w:tc>
        <w:tc>
          <w:tcPr>
            <w:tcW w:type="dxa" w:w="303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金额、币种、时间；分币种累计</w:t>
            </w:r>
          </w:p>
        </w:tc>
        <w:tc>
          <w:tcPr>
            <w:tcW w:type="dxa" w:w="242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一般行为可计算；无贷款账户身份</w:t>
            </w:r>
          </w:p>
        </w:tc>
        <w:tc>
          <w:tcPr>
            <w:tcW w:type="dxa" w:w="84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hyperlink r:id="rId13">
              <w:r>
                <w:rPr>
                  <w:rFonts w:eastAsia="Noto Sans CJK SC"/>
                  <w:color w:val="1F4E79"/>
                </w:rPr>
                <w:t>非银行贷款</w:t>
              </w:r>
            </w:hyperlink>
          </w:p>
        </w:tc>
      </w:tr>
      <w:tr>
        <w:trPr>
          <w:cantSplit/>
        </w:trPr>
        <w:tc>
          <w:tcPr>
            <w:tcW w:type="dxa" w:w="6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R05</w:t>
            </w:r>
          </w:p>
        </w:tc>
        <w:tc>
          <w:tcPr>
            <w:tcW w:type="dxa" w:w="27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交易模式或频次异常</w:t>
            </w:r>
          </w:p>
        </w:tc>
        <w:tc>
          <w:tcPr>
            <w:tcW w:type="dxa" w:w="303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时间、账户、金额；比较历史分布</w:t>
            </w:r>
          </w:p>
        </w:tc>
        <w:tc>
          <w:tcPr>
            <w:tcW w:type="dxa" w:w="242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需历史基准；无客户背景</w:t>
            </w:r>
          </w:p>
        </w:tc>
        <w:tc>
          <w:tcPr>
            <w:tcW w:type="dxa" w:w="84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hyperlink r:id="rId13">
              <w:r>
                <w:rPr>
                  <w:rFonts w:eastAsia="Noto Sans CJK SC"/>
                  <w:color w:val="1F4E79"/>
                </w:rPr>
                <w:t>非银行贷款</w:t>
              </w:r>
            </w:hyperlink>
          </w:p>
        </w:tc>
      </w:tr>
      <w:tr>
        <w:trPr>
          <w:cantSplit/>
        </w:trPr>
        <w:tc>
          <w:tcPr>
            <w:tcW w:type="dxa" w:w="6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R06</w:t>
            </w:r>
          </w:p>
        </w:tc>
        <w:tc>
          <w:tcPr>
            <w:tcW w:type="dxa" w:w="27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交易金额频次或模式异常</w:t>
            </w:r>
          </w:p>
        </w:tc>
        <w:tc>
          <w:tcPr>
            <w:tcW w:type="dxa" w:w="303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金额、币种、时间、账户；异常分位数</w:t>
            </w:r>
          </w:p>
        </w:tc>
        <w:tc>
          <w:tcPr>
            <w:tcW w:type="dxa" w:w="242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异常标准需校准；无客户背景</w:t>
            </w:r>
          </w:p>
        </w:tc>
        <w:tc>
          <w:tcPr>
            <w:tcW w:type="dxa" w:w="84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hyperlink r:id="rId14">
              <w:r>
                <w:rPr>
                  <w:rFonts w:eastAsia="Noto Sans CJK SC"/>
                  <w:color w:val="1F4E79"/>
                </w:rPr>
                <w:t>汇款</w:t>
              </w:r>
            </w:hyperlink>
          </w:p>
        </w:tc>
      </w:tr>
      <w:tr>
        <w:trPr>
          <w:cantSplit/>
        </w:trPr>
        <w:tc>
          <w:tcPr>
            <w:tcW w:type="dxa" w:w="6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R07</w:t>
            </w:r>
          </w:p>
        </w:tc>
        <w:tc>
          <w:tcPr>
            <w:tcW w:type="dxa" w:w="27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快速往返转账且无明显理由</w:t>
            </w:r>
          </w:p>
        </w:tc>
        <w:tc>
          <w:tcPr>
            <w:tcW w:type="dxa" w:w="303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账户、时间、金额及币种；A→B→A</w:t>
            </w:r>
          </w:p>
        </w:tc>
        <w:tc>
          <w:tcPr>
            <w:tcW w:type="dxa" w:w="242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仅覆盖往返；无法核实理由</w:t>
            </w:r>
          </w:p>
        </w:tc>
        <w:tc>
          <w:tcPr>
            <w:tcW w:type="dxa" w:w="84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hyperlink r:id="rId11">
              <w:r>
                <w:rPr>
                  <w:rFonts w:eastAsia="Noto Sans CJK SC"/>
                  <w:color w:val="1F4E79"/>
                </w:rPr>
                <w:t>会计</w:t>
              </w:r>
            </w:hyperlink>
          </w:p>
        </w:tc>
      </w:tr>
      <w:tr>
        <w:trPr>
          <w:cantSplit/>
        </w:trPr>
        <w:tc>
          <w:tcPr>
            <w:tcW w:type="dxa" w:w="6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R08</w:t>
            </w:r>
          </w:p>
        </w:tc>
        <w:tc>
          <w:tcPr>
            <w:tcW w:type="dxa" w:w="27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活动突然显著增减且缺乏解释</w:t>
            </w:r>
          </w:p>
        </w:tc>
        <w:tc>
          <w:tcPr>
            <w:tcW w:type="dxa" w:w="303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交易次数、同币种金额；变化率</w:t>
            </w:r>
          </w:p>
        </w:tc>
        <w:tc>
          <w:tcPr>
            <w:tcW w:type="dxa" w:w="242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仅覆盖突变；解释未知</w:t>
            </w:r>
          </w:p>
        </w:tc>
        <w:tc>
          <w:tcPr>
            <w:tcW w:type="dxa" w:w="84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hyperlink r:id="rId14">
              <w:r>
                <w:rPr>
                  <w:rFonts w:eastAsia="Noto Sans CJK SC"/>
                  <w:color w:val="1F4E79"/>
                </w:rPr>
                <w:t>汇款</w:t>
              </w:r>
            </w:hyperlink>
          </w:p>
        </w:tc>
      </w:tr>
      <w:tr>
        <w:trPr>
          <w:cantSplit/>
        </w:trPr>
        <w:tc>
          <w:tcPr>
            <w:tcW w:type="dxa" w:w="6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R09</w:t>
            </w:r>
          </w:p>
        </w:tc>
        <w:tc>
          <w:tcPr>
            <w:tcW w:type="dxa" w:w="27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拆分较大交易以逃避审查</w:t>
            </w:r>
          </w:p>
        </w:tc>
        <w:tc>
          <w:tcPr>
            <w:tcW w:type="dxa" w:w="303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账户、时间、金额；小额聚集</w:t>
            </w:r>
          </w:p>
        </w:tc>
        <w:tc>
          <w:tcPr>
            <w:tcW w:type="dxa" w:w="242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不能确认原始大额交易和意图</w:t>
            </w:r>
          </w:p>
        </w:tc>
        <w:tc>
          <w:tcPr>
            <w:tcW w:type="dxa" w:w="84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hyperlink r:id="rId14">
              <w:r>
                <w:rPr>
                  <w:rFonts w:eastAsia="Noto Sans CJK SC"/>
                  <w:color w:val="1F4E79"/>
                </w:rPr>
                <w:t>汇款</w:t>
              </w:r>
            </w:hyperlink>
          </w:p>
        </w:tc>
      </w:tr>
      <w:tr>
        <w:trPr>
          <w:cantSplit/>
        </w:trPr>
        <w:tc>
          <w:tcPr>
            <w:tcW w:type="dxa" w:w="6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R10</w:t>
            </w:r>
          </w:p>
        </w:tc>
        <w:tc>
          <w:tcPr>
            <w:tcW w:type="dxa" w:w="27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原本不活跃的账户开始频繁交易</w:t>
            </w:r>
          </w:p>
        </w:tc>
        <w:tc>
          <w:tcPr>
            <w:tcW w:type="dxa" w:w="303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账户、时间；观察期静默后激活</w:t>
            </w:r>
          </w:p>
        </w:tc>
        <w:tc>
          <w:tcPr>
            <w:tcW w:type="dxa" w:w="242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无长期历史；不能确认真实休眠</w:t>
            </w:r>
          </w:p>
        </w:tc>
        <w:tc>
          <w:tcPr>
            <w:tcW w:type="dxa" w:w="84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hyperlink r:id="rId10">
              <w:r>
                <w:rPr>
                  <w:rFonts w:eastAsia="Noto Sans CJK SC"/>
                  <w:color w:val="1F4E79"/>
                </w:rPr>
                <w:t>银行</w:t>
              </w:r>
            </w:hyperlink>
          </w:p>
        </w:tc>
      </w:tr>
      <w:tr>
        <w:trPr>
          <w:cantSplit/>
        </w:trPr>
        <w:tc>
          <w:tcPr>
            <w:tcW w:type="dxa" w:w="6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R11</w:t>
            </w:r>
          </w:p>
        </w:tc>
        <w:tc>
          <w:tcPr>
            <w:tcW w:type="dxa" w:w="27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短期多笔较小付款且可能为规避检测</w:t>
            </w:r>
          </w:p>
        </w:tc>
        <w:tc>
          <w:tcPr>
            <w:tcW w:type="dxa" w:w="303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账户、时间、金额；多笔小额</w:t>
            </w:r>
          </w:p>
        </w:tc>
        <w:tc>
          <w:tcPr>
            <w:tcW w:type="dxa" w:w="242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仅覆盖聚集；无保险业务和意图</w:t>
            </w:r>
          </w:p>
        </w:tc>
        <w:tc>
          <w:tcPr>
            <w:tcW w:type="dxa" w:w="84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hyperlink r:id="rId15">
              <w:r>
                <w:rPr>
                  <w:rFonts w:eastAsia="Noto Sans CJK SC"/>
                  <w:color w:val="1F4E79"/>
                </w:rPr>
                <w:t>寿险</w:t>
              </w:r>
            </w:hyperlink>
          </w:p>
        </w:tc>
      </w:tr>
      <w:tr>
        <w:trPr>
          <w:cantSplit/>
        </w:trPr>
        <w:tc>
          <w:tcPr>
            <w:tcW w:type="dxa" w:w="6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R12</w:t>
            </w:r>
          </w:p>
        </w:tc>
        <w:tc>
          <w:tcPr>
            <w:tcW w:type="dxa" w:w="27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转出资金后有部分金额返还</w:t>
            </w:r>
          </w:p>
        </w:tc>
        <w:tc>
          <w:tcPr>
            <w:tcW w:type="dxa" w:w="303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账户、时间、同币种金额；返还比例</w:t>
            </w:r>
          </w:p>
        </w:tc>
        <w:tc>
          <w:tcPr>
            <w:tcW w:type="dxa" w:w="242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无虚拟资产业务；不能确认同一资金</w:t>
            </w:r>
          </w:p>
        </w:tc>
        <w:tc>
          <w:tcPr>
            <w:tcW w:type="dxa" w:w="84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hyperlink r:id="rId16">
              <w:r>
                <w:rPr>
                  <w:rFonts w:eastAsia="Noto Sans CJK SC"/>
                  <w:color w:val="1F4E79"/>
                </w:rPr>
                <w:t>虚拟资产</w:t>
              </w:r>
            </w:hyperlink>
          </w:p>
        </w:tc>
      </w:tr>
      <w:tr>
        <w:trPr>
          <w:cantSplit/>
        </w:trPr>
        <w:tc>
          <w:tcPr>
            <w:tcW w:type="dxa" w:w="6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R13</w:t>
            </w:r>
          </w:p>
        </w:tc>
        <w:tc>
          <w:tcPr>
            <w:tcW w:type="dxa" w:w="27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整额交易偏离预期</w:t>
            </w:r>
          </w:p>
        </w:tc>
        <w:tc>
          <w:tcPr>
            <w:tcW w:type="dxa" w:w="303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金额、币种；整额占比及历史差异</w:t>
            </w:r>
          </w:p>
        </w:tc>
        <w:tc>
          <w:tcPr>
            <w:tcW w:type="dxa" w:w="242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只覆盖数值形态和历史偏离</w:t>
            </w:r>
          </w:p>
        </w:tc>
        <w:tc>
          <w:tcPr>
            <w:tcW w:type="dxa" w:w="84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hyperlink r:id="rId11">
              <w:r>
                <w:rPr>
                  <w:rFonts w:eastAsia="Noto Sans CJK SC"/>
                  <w:color w:val="1F4E79"/>
                </w:rPr>
                <w:t>会计</w:t>
              </w:r>
            </w:hyperlink>
          </w:p>
        </w:tc>
      </w:tr>
      <w:tr>
        <w:trPr>
          <w:cantSplit/>
        </w:trPr>
        <w:tc>
          <w:tcPr>
            <w:tcW w:type="dxa" w:w="6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R14</w:t>
            </w:r>
          </w:p>
        </w:tc>
        <w:tc>
          <w:tcPr>
            <w:tcW w:type="dxa" w:w="27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多个第三方向同一账户入账</w:t>
            </w:r>
          </w:p>
        </w:tc>
        <w:tc>
          <w:tcPr>
            <w:tcW w:type="dxa" w:w="303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付款账户、收款账户、时间</w:t>
            </w:r>
          </w:p>
        </w:tc>
        <w:tc>
          <w:tcPr>
            <w:tcW w:type="dxa" w:w="242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只能确认不同账户，非不同所有人</w:t>
            </w:r>
          </w:p>
        </w:tc>
        <w:tc>
          <w:tcPr>
            <w:tcW w:type="dxa" w:w="84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hyperlink r:id="rId10">
              <w:r>
                <w:rPr>
                  <w:rFonts w:eastAsia="Noto Sans CJK SC"/>
                  <w:color w:val="1F4E79"/>
                </w:rPr>
                <w:t>银行</w:t>
              </w:r>
            </w:hyperlink>
          </w:p>
        </w:tc>
      </w:tr>
    </w:tbl>
    <w:p>
      <w:pPr>
        <w:spacing w:after="0"/>
      </w:pPr>
    </w:p>
    <w:p>
      <w:r>
        <w:t>银行、财务规划、非银行贷款、汇款、寿险及虚拟资产页面的对应条目主要位于“Money laundering indicators”；会计页面对应“Unusual transactions and requests”。跨行业使用时保留一般交易行为，不将普通账户认定为贷款、保险或虚拟资产账户。</w:t>
      </w:r>
    </w:p>
    <w:p>
      <w:r>
        <w:t>以上指标去重后主要对应快速中转、多来源汇集、大额入账、异常频次、快速往返、小额聚集、活动突变和整额偏离。相似条目共享特征，不作为相互独立证据重复加分。涉及经济合理性、第三方身份或犯罪意图的部分，在报告中保留为待核实事项。</w:t>
      </w:r>
    </w:p>
    <w:p>
      <w:pPr>
        <w:pStyle w:val="Heading1"/>
      </w:pPr>
      <w:r>
        <w:t>三 实现方案</w:t>
      </w:r>
    </w:p>
    <w:p>
      <w:r>
        <w:t>整体流程为：初始规则生成 → Agent接收告警 → 动态规划上下游查询 → 发现更多关联风险交易 → 规则补充和权限更新 → 正式规则生成 → 验证集评估 → 测试集扫描和告警 → 案件展示。</w:t>
      </w:r>
    </w:p>
    <w:p>
      <w:pPr>
        <w:pStyle w:val="Heading2"/>
      </w:pPr>
      <w:r>
        <w:t>1 初始规则生成</w:t>
      </w:r>
    </w:p>
    <w:p>
      <w:r>
        <w:t>建立固定规则模板，至少包含政策来源、行为类型、适用字段、触发条件、待定阈值、证据输出和不支持的条件。Agent读取指定AUSTRAC段落与字段说明，将可计算的内容填入模板；程序自动检查字段、条件及配置格式，并转换为查询。</w:t>
      </w:r>
    </w:p>
    <w:p>
      <w:r>
        <w:t>初始模板优先选择快速中转、多来源汇集和短期大额入账。开发集用于确认收付间隔、不同对手方数量、分币种累计金额等特征，比较候选阈值。规则组合先采用任一规则命中即告警，重叠命中合并为同一账户的相关告警。</w:t>
      </w:r>
    </w:p>
    <w:p>
      <w:r>
        <w:t>本步骤产出初始规则配置、对应的政策依据和告警查询。参数作为可调整配置保存，不由模型将自主提出的数值表述为官方要求。</w:t>
      </w:r>
    </w:p>
    <w:p>
      <w:pPr>
        <w:pStyle w:val="Heading2"/>
      </w:pPr>
      <w:r>
        <w:t>2 Agent接收告警</w:t>
      </w:r>
    </w:p>
    <w:p>
      <w:r>
        <w:t>系统在开发数据上执行初始规则，将焦点账户、触发交易、命中条件、政策来源和调查截止时间交给Agent。Agent建立案件状态，记录当前已知事实、未解决问题、已查账户及允许调用的工具。</w:t>
      </w:r>
    </w:p>
    <w:p>
      <w:r>
        <w:t>初始告警只表示发现值得调查的行为。Agent首先明确本案需要回答的问题，例如资金是否来自多个账户、是否继续经过其他中间账户、是否回流，以及是否存在重复往返。</w:t>
      </w:r>
    </w:p>
    <w:p>
      <w:pPr>
        <w:pStyle w:val="Heading2"/>
      </w:pPr>
      <w:r>
        <w:t>3 动态规划查询上下游信息</w:t>
      </w:r>
    </w:p>
    <w:p>
      <w:r>
        <w:t>LLM依据当前证据选择下一项调查动作，调用工具后读取结果，再调整后续计划。Zetaris执行交易查询，Meterless管理多轮执行、状态与记忆；程序负责参数检查、路径计算及证据保存。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02"/>
        <w:gridCol w:w="3551"/>
        <w:gridCol w:w="4185"/>
      </w:tblGrid>
      <w:tr>
        <w:trPr>
          <w:tblHeader/>
          <w:cantSplit/>
        </w:trPr>
        <w:tc>
          <w:tcPr>
            <w:tcW w:type="dxa" w:w="19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CE6F1"/>
          </w:tcPr>
          <w:p>
            <w:pPr>
              <w:spacing w:after="40" w:before="40" w:line="264" w:lineRule="auto"/>
            </w:pPr>
            <w:r>
              <w:rPr>
                <w:b/>
                <w:sz w:val="20"/>
              </w:rPr>
              <w:t>当前观察</w:t>
            </w:r>
          </w:p>
        </w:tc>
        <w:tc>
          <w:tcPr>
            <w:tcW w:type="dxa" w:w="355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CE6F1"/>
          </w:tcPr>
          <w:p>
            <w:pPr>
              <w:spacing w:after="40" w:before="40" w:line="264" w:lineRule="auto"/>
            </w:pPr>
            <w:r>
              <w:rPr>
                <w:b/>
                <w:sz w:val="20"/>
              </w:rPr>
              <w:t>可选择的下一步</w:t>
            </w:r>
          </w:p>
        </w:tc>
        <w:tc>
          <w:tcPr>
            <w:tcW w:type="dxa" w:w="418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CE6F1"/>
          </w:tcPr>
          <w:p>
            <w:pPr>
              <w:spacing w:after="40" w:before="40" w:line="264" w:lineRule="auto"/>
            </w:pPr>
            <w:r>
              <w:rPr>
                <w:b/>
                <w:sz w:val="20"/>
              </w:rPr>
              <w:t>调查目的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收款后快速转出</w:t>
            </w:r>
          </w:p>
        </w:tc>
        <w:tc>
          <w:tcPr>
            <w:tcW w:type="dxa" w:w="355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查询付款来源的上游</w:t>
            </w:r>
          </w:p>
        </w:tc>
        <w:tc>
          <w:tcPr>
            <w:tcW w:type="dxa" w:w="418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判断是否属于更长的转移路径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多账户向同一账户入账</w:t>
            </w:r>
          </w:p>
        </w:tc>
        <w:tc>
          <w:tcPr>
            <w:tcW w:type="dxa" w:w="355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查询该账户后续付款</w:t>
            </w:r>
          </w:p>
        </w:tc>
        <w:tc>
          <w:tcPr>
            <w:tcW w:type="dxa" w:w="418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判断是否汇集后继续转移或分发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向多个账户付款</w:t>
            </w:r>
          </w:p>
        </w:tc>
        <w:tc>
          <w:tcPr>
            <w:tcW w:type="dxa" w:w="355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查询这些账户的后续收付</w:t>
            </w:r>
          </w:p>
        </w:tc>
        <w:tc>
          <w:tcPr>
            <w:tcW w:type="dxa" w:w="418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查找共同收款点或进一步分层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下游出现已访问账户</w:t>
            </w:r>
          </w:p>
        </w:tc>
        <w:tc>
          <w:tcPr>
            <w:tcW w:type="dxa" w:w="355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核对路径及时间顺序</w:t>
            </w:r>
          </w:p>
        </w:tc>
        <w:tc>
          <w:tcPr>
            <w:tcW w:type="dxa" w:w="418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判断是否形成循环或往返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出现多笔相似或平行交易</w:t>
            </w:r>
          </w:p>
        </w:tc>
        <w:tc>
          <w:tcPr>
            <w:tcW w:type="dxa" w:w="355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查询相关账户历史及完整明细</w:t>
            </w:r>
          </w:p>
        </w:tc>
        <w:tc>
          <w:tcPr>
            <w:tcW w:type="dxa" w:w="418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保留候选路径，避免错误归因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未发现新关联或已达到调查边界</w:t>
            </w:r>
          </w:p>
        </w:tc>
        <w:tc>
          <w:tcPr>
            <w:tcW w:type="dxa" w:w="355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结束并汇总已知与未知</w:t>
            </w:r>
          </w:p>
        </w:tc>
        <w:tc>
          <w:tcPr>
            <w:tcW w:type="dxa" w:w="418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输出证据范围内的结论</w:t>
            </w:r>
          </w:p>
        </w:tc>
      </w:tr>
    </w:tbl>
    <w:p>
      <w:pPr>
        <w:spacing w:after="0"/>
      </w:pPr>
    </w:p>
    <w:p>
      <w:r>
        <w:t>计划由查询结果驱动，不预设每个案件必须按相同顺序查询。每步保存调查问题、动作选择理由、查询参数、返回证据和判断变化，使展示页面能够复现决策过程。</w:t>
      </w:r>
    </w:p>
    <w:p>
      <w:pPr>
        <w:pStyle w:val="Heading2"/>
      </w:pPr>
      <w:r>
        <w:t>4 发现更多关联风险交易</w:t>
      </w:r>
    </w:p>
    <w:p>
      <w:r>
        <w:t>Agent将初始告警之外发现的交易连接成候选资金网络，识别多跳、汇集分发、往返及循环等结构。程序核对账户连接、时间顺序和交易编号，保留原始证据与候选路径。</w:t>
      </w:r>
    </w:p>
    <w:p>
      <w:r>
        <w:t>开发与评估阶段，由独立程序将检索出的交易编号与Is Laundering标签对照，确认其中新增覆盖的打标交易。运行中的Agent不读取标签，也不将所有关联交易自动判定为洗钱。</w:t>
      </w:r>
    </w:p>
    <w:p>
      <w:r>
        <w:t>本步骤产出扩展后的账户关系、交易明细、结构判断和新增风险线索，作为规则完善与案件解释的依据。</w:t>
      </w:r>
    </w:p>
    <w:p>
      <w:pPr>
        <w:pStyle w:val="Heading2"/>
      </w:pPr>
      <w:r>
        <w:t>5 规则补充和权限更新</w:t>
      </w:r>
    </w:p>
    <w:p>
      <w:r>
        <w:t>Agent比较初始规则与扩展调查结果，提出可复用的补充条件，例如在快速中转基础上增加多来源汇集、重复往返或路径层数。规则更新只针对可查询字段和已定义特征，不将单个案例的账户编号写成通用规则。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02"/>
        <w:gridCol w:w="3551"/>
        <w:gridCol w:w="4185"/>
      </w:tblGrid>
      <w:tr>
        <w:trPr>
          <w:tblHeader/>
          <w:cantSplit/>
        </w:trPr>
        <w:tc>
          <w:tcPr>
            <w:tcW w:type="dxa" w:w="19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CE6F1"/>
          </w:tcPr>
          <w:p>
            <w:pPr>
              <w:spacing w:after="40" w:before="40" w:line="264" w:lineRule="auto"/>
            </w:pPr>
            <w:r>
              <w:rPr>
                <w:b/>
                <w:sz w:val="20"/>
              </w:rPr>
              <w:t>更新对象</w:t>
            </w:r>
          </w:p>
        </w:tc>
        <w:tc>
          <w:tcPr>
            <w:tcW w:type="dxa" w:w="355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CE6F1"/>
          </w:tcPr>
          <w:p>
            <w:pPr>
              <w:spacing w:after="40" w:before="40" w:line="264" w:lineRule="auto"/>
            </w:pPr>
            <w:r>
              <w:rPr>
                <w:b/>
                <w:sz w:val="20"/>
              </w:rPr>
              <w:t>自动处理方式</w:t>
            </w:r>
          </w:p>
        </w:tc>
        <w:tc>
          <w:tcPr>
            <w:tcW w:type="dxa" w:w="418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CE6F1"/>
          </w:tcPr>
          <w:p>
            <w:pPr>
              <w:spacing w:after="40" w:before="40" w:line="264" w:lineRule="auto"/>
            </w:pPr>
            <w:r>
              <w:rPr>
                <w:b/>
                <w:sz w:val="20"/>
              </w:rPr>
              <w:t>输出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规则条件</w:t>
            </w:r>
          </w:p>
        </w:tc>
        <w:tc>
          <w:tcPr>
            <w:tcW w:type="dxa" w:w="355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Agent提出增删条件，程序检查字段与逻辑</w:t>
            </w:r>
          </w:p>
        </w:tc>
        <w:tc>
          <w:tcPr>
            <w:tcW w:type="dxa" w:w="418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补充规则草案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阈值及权重</w:t>
            </w:r>
          </w:p>
        </w:tc>
        <w:tc>
          <w:tcPr>
            <w:tcW w:type="dxa" w:w="355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在开发集比较候选参数，去除重复特征计分</w:t>
            </w:r>
          </w:p>
        </w:tc>
        <w:tc>
          <w:tcPr>
            <w:tcW w:type="dxa" w:w="418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参数及排序配置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查询权限范围</w:t>
            </w:r>
          </w:p>
        </w:tc>
        <w:tc>
          <w:tcPr>
            <w:tcW w:type="dxa" w:w="355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Agent提出需要的工具或查询范围；系统在预设可授权清单内更新</w:t>
            </w:r>
          </w:p>
        </w:tc>
        <w:tc>
          <w:tcPr>
            <w:tcW w:type="dxa" w:w="418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可执行权限配置</w:t>
            </w:r>
          </w:p>
        </w:tc>
      </w:tr>
    </w:tbl>
    <w:p>
      <w:pPr>
        <w:spacing w:after="0"/>
      </w:pPr>
    </w:p>
    <w:p>
      <w:r>
        <w:t>查询权限更新指调整可调用工具、可访问字段、历史窗口和查询预算。Agent不自行获取预设范围之外的数据访问权；不支持的请求自动返回限制说明。该流程由配置程序执行，不设置人工审批。</w:t>
      </w:r>
    </w:p>
    <w:p>
      <w:r>
        <w:t>可增加一个Agent自检步骤，核对补充规则是否有政策来源、是否使用缺失字段、是否遗漏条件或夸大结论。自检属于辅助能力；配置格式、参数范围和访问权限由程序检查，效果由验证集评估。该自检机制作为实现选项，不作为已经证明有效的功能。</w:t>
      </w:r>
    </w:p>
    <w:p>
      <w:pPr>
        <w:pStyle w:val="Heading2"/>
      </w:pPr>
      <w:r>
        <w:t>6 正式规则生成</w:t>
      </w:r>
    </w:p>
    <w:p>
      <w:r>
        <w:t>系统将初始规则、补充条件、阈值、排序权重和权限范围整理为待验证的正式规则版本，记录版本号、政策来源、适用范围及生效条件。正式规则与Agent调查配置分别保存，便于追溯哪个版本产生告警、哪个配置执行调查。</w:t>
      </w:r>
    </w:p>
    <w:p>
      <w:r>
        <w:t>规则生成程序自动检查配置是否完整、查询是否可执行、字段是否存在、权限是否在允许范围，以及金额和时间口径是否一致。通过检查后进入验证集评估。</w:t>
      </w:r>
    </w:p>
    <w:p>
      <w:pPr>
        <w:pStyle w:val="Heading2"/>
      </w:pPr>
      <w:r>
        <w:t>7 验证集验证正式规则</w:t>
      </w:r>
    </w:p>
    <w:p>
      <w:r>
        <w:t>在验证集上执行正式规则，并对告警运行Agent调查。独立评估程序对照标签，检查初始告警覆盖、新增打标交易覆盖、候选交易量、查询次数及证据完整性。</w:t>
      </w:r>
    </w:p>
    <w:p>
      <w:r>
        <w:t>同时检查调查记录是否支持最终结论，是否出现重复查询、未来数据使用或缺失证据。未达到预设目标时返回开发阶段调整；达到目标后自动发布并冻结正式规则、提示词、工具清单和权限配置。测试阶段不再使用测试标签修改这些配置。</w:t>
      </w:r>
    </w:p>
    <w:p>
      <w:pPr>
        <w:pStyle w:val="Heading2"/>
      </w:pPr>
      <w:r>
        <w:t>8 在测试集扫描并产生告警</w:t>
      </w:r>
    </w:p>
    <w:p>
      <w:r>
        <w:t>使用冻结后的正式规则扫描测试集，生成告警并合并相关案件。Agent使用相同调查配置动态选择上下游查询，系统保存实际调用记录及证据网络。</w:t>
      </w:r>
    </w:p>
    <w:p>
      <w:r>
        <w:t>测试标签仅在调查结束后由独立评估程序读取。跨时间边界的路径只使用案件截止前已经发生的交易，不读取未来交易补齐资金链路。</w:t>
      </w:r>
    </w:p>
    <w:p>
      <w:pPr>
        <w:pStyle w:val="Heading2"/>
      </w:pPr>
      <w:r>
        <w:t>9 生成案件展示</w:t>
      </w:r>
    </w:p>
    <w:p>
      <w:r>
        <w:t>从测试运行结果中选择代表案件，展示从初始告警到关联交易发现的完整过程。案件可包含形成循环的路径，也可包含调查后证据不足或未形成预期结构的情况。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26"/>
        <w:gridCol w:w="6911"/>
      </w:tblGrid>
      <w:tr>
        <w:trPr>
          <w:tblHeader/>
          <w:cantSplit/>
        </w:trPr>
        <w:tc>
          <w:tcPr>
            <w:tcW w:type="dxa" w:w="272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CE6F1"/>
          </w:tcPr>
          <w:p>
            <w:pPr>
              <w:spacing w:after="40" w:before="40" w:line="264" w:lineRule="auto"/>
            </w:pPr>
            <w:r>
              <w:rPr>
                <w:b/>
                <w:sz w:val="20"/>
              </w:rPr>
              <w:t>展示内容</w:t>
            </w:r>
          </w:p>
        </w:tc>
        <w:tc>
          <w:tcPr>
            <w:tcW w:type="dxa" w:w="691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CE6F1"/>
          </w:tcPr>
          <w:p>
            <w:pPr>
              <w:spacing w:after="40" w:before="40" w:line="264" w:lineRule="auto"/>
            </w:pPr>
            <w:r>
              <w:rPr>
                <w:b/>
                <w:sz w:val="20"/>
              </w:rPr>
              <w:t>页面呈现</w:t>
            </w:r>
          </w:p>
        </w:tc>
      </w:tr>
      <w:tr>
        <w:trPr>
          <w:cantSplit/>
        </w:trPr>
        <w:tc>
          <w:tcPr>
            <w:tcW w:type="dxa" w:w="272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告警起点</w:t>
            </w:r>
          </w:p>
        </w:tc>
        <w:tc>
          <w:tcPr>
            <w:tcW w:type="dxa" w:w="691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命中规则、政策来源、触发账户与交易</w:t>
            </w:r>
          </w:p>
        </w:tc>
      </w:tr>
      <w:tr>
        <w:trPr>
          <w:cantSplit/>
        </w:trPr>
        <w:tc>
          <w:tcPr>
            <w:tcW w:type="dxa" w:w="272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动态调查</w:t>
            </w:r>
          </w:p>
        </w:tc>
        <w:tc>
          <w:tcPr>
            <w:tcW w:type="dxa" w:w="691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每步问题、选择的工具、选择理由及返回结果</w:t>
            </w:r>
          </w:p>
        </w:tc>
      </w:tr>
      <w:tr>
        <w:trPr>
          <w:cantSplit/>
        </w:trPr>
        <w:tc>
          <w:tcPr>
            <w:tcW w:type="dxa" w:w="272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关联网络</w:t>
            </w:r>
          </w:p>
        </w:tc>
        <w:tc>
          <w:tcPr>
            <w:tcW w:type="dxa" w:w="691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上游、下游、汇集分发及往返路径</w:t>
            </w:r>
          </w:p>
        </w:tc>
      </w:tr>
      <w:tr>
        <w:trPr>
          <w:cantSplit/>
        </w:trPr>
        <w:tc>
          <w:tcPr>
            <w:tcW w:type="dxa" w:w="272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打标交易对照</w:t>
            </w:r>
          </w:p>
        </w:tc>
        <w:tc>
          <w:tcPr>
            <w:tcW w:type="dxa" w:w="691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调查结束后标出与数据标签一致的交易，区分初始与新增发现</w:t>
            </w:r>
          </w:p>
        </w:tc>
      </w:tr>
      <w:tr>
        <w:trPr>
          <w:cantSplit/>
        </w:trPr>
        <w:tc>
          <w:tcPr>
            <w:tcW w:type="dxa" w:w="272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结果解释</w:t>
            </w:r>
          </w:p>
        </w:tc>
        <w:tc>
          <w:tcPr>
            <w:tcW w:type="dxa" w:w="691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支持风险判断的证据、候选路径及仍无法确认的条件</w:t>
            </w:r>
          </w:p>
        </w:tc>
      </w:tr>
      <w:tr>
        <w:trPr>
          <w:cantSplit/>
        </w:trPr>
        <w:tc>
          <w:tcPr>
            <w:tcW w:type="dxa" w:w="272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规则演进</w:t>
            </w:r>
          </w:p>
        </w:tc>
        <w:tc>
          <w:tcPr>
            <w:tcW w:type="dxa" w:w="691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展示开发阶段形成的补充条件和最终冻结版本</w:t>
            </w:r>
          </w:p>
        </w:tc>
      </w:tr>
    </w:tbl>
    <w:p>
      <w:pPr>
        <w:spacing w:after="0"/>
      </w:pPr>
    </w:p>
    <w:p>
      <w:r>
        <w:t>展示中的标签对照属于事后评估视图，不作为Agent决策输入。规则演进发生在开发验证阶段；测试展示展示版本关系，不现场修改测试规则。</w:t>
      </w:r>
    </w:p>
    <w:p>
      <w:pPr>
        <w:pStyle w:val="Heading2"/>
      </w:pPr>
      <w:r>
        <w:t>10 开发验证和测试的分工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02"/>
        <w:gridCol w:w="3551"/>
        <w:gridCol w:w="4185"/>
      </w:tblGrid>
      <w:tr>
        <w:trPr>
          <w:tblHeader/>
          <w:cantSplit/>
        </w:trPr>
        <w:tc>
          <w:tcPr>
            <w:tcW w:type="dxa" w:w="19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CE6F1"/>
          </w:tcPr>
          <w:p>
            <w:pPr>
              <w:spacing w:after="40" w:before="40" w:line="264" w:lineRule="auto"/>
            </w:pPr>
            <w:r>
              <w:rPr>
                <w:b/>
                <w:sz w:val="20"/>
              </w:rPr>
              <w:t>数据部分</w:t>
            </w:r>
          </w:p>
        </w:tc>
        <w:tc>
          <w:tcPr>
            <w:tcW w:type="dxa" w:w="355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CE6F1"/>
          </w:tcPr>
          <w:p>
            <w:pPr>
              <w:spacing w:after="40" w:before="40" w:line="264" w:lineRule="auto"/>
            </w:pPr>
            <w:r>
              <w:rPr>
                <w:b/>
                <w:sz w:val="20"/>
              </w:rPr>
              <w:t>工作内容</w:t>
            </w:r>
          </w:p>
        </w:tc>
        <w:tc>
          <w:tcPr>
            <w:tcW w:type="dxa" w:w="418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CE6F1"/>
          </w:tcPr>
          <w:p>
            <w:pPr>
              <w:spacing w:after="40" w:before="40" w:line="264" w:lineRule="auto"/>
            </w:pPr>
            <w:r>
              <w:rPr>
                <w:b/>
                <w:sz w:val="20"/>
              </w:rPr>
              <w:t>阶段产出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开发集</w:t>
            </w:r>
          </w:p>
        </w:tc>
        <w:tc>
          <w:tcPr>
            <w:tcW w:type="dxa" w:w="355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初始规则、阈值探索、Agent调查动作、补充规则与权限配置</w:t>
            </w:r>
          </w:p>
        </w:tc>
        <w:tc>
          <w:tcPr>
            <w:tcW w:type="dxa" w:w="418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可执行规则和调查流程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验证集</w:t>
            </w:r>
          </w:p>
        </w:tc>
        <w:tc>
          <w:tcPr>
            <w:tcW w:type="dxa" w:w="355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自动评估正式规则、调查效果及证据完整性</w:t>
            </w:r>
          </w:p>
        </w:tc>
        <w:tc>
          <w:tcPr>
            <w:tcW w:type="dxa" w:w="418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通过验证的冻结版本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测试集</w:t>
            </w:r>
          </w:p>
        </w:tc>
        <w:tc>
          <w:tcPr>
            <w:tcW w:type="dxa" w:w="355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正式扫描、告警、动态追查及标签对照</w:t>
            </w:r>
          </w:p>
        </w:tc>
        <w:tc>
          <w:tcPr>
            <w:tcW w:type="dxa" w:w="418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案件展示和总体评估</w:t>
            </w:r>
          </w:p>
        </w:tc>
      </w:tr>
    </w:tbl>
    <w:p>
      <w:pPr>
        <w:spacing w:after="0"/>
      </w:pPr>
    </w:p>
    <w:p>
      <w:r>
        <w:t>此处的前期训练主要是规则参数校准、提示词和调查策略开发，不要求微调大语言模型权重。数据按时间划分，保留必要历史；同一参考模式跨分区时单独处理，避免将其反复用于开发和评分。</w:t>
      </w:r>
    </w:p>
    <w:p>
      <w:r>
        <w:t>整体技术分工为：LLM解析文本和规划调查，Zetaris连接数据并执行查询，Meterless维护执行状态与记忆，程序完成计算、自动检查和标签评估，前端展示规则依据、决策过程及交易证据。</w:t>
      </w:r>
    </w:p>
    <w:sectPr w:rsidR="00FC693F" w:rsidRPr="0006063C" w:rsidSect="00034616">
      <w:footerReference w:type="default" r:id="rId17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eastAsia="Noto Sans CJK S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8" w:lineRule="auto" w:after="120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outlineLvl w:val="0"/>
    </w:pPr>
    <w:rPr>
      <w:rFonts w:cstheme="majorBidi" w:ascii="Noto Sans CJK SC" w:hAnsi="Noto Sans CJK SC" w:eastAsia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cstheme="majorBidi" w:ascii="Noto Sans CJK SC" w:hAnsi="Noto Sans CJK SC" w:eastAsia="Noto Sans CJK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eastAsia="Noto Sans CJK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eastAsia="Noto Sans CJK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eastAsia="Noto Sans CJK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eastAsia="Noto Sans CJK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eastAsia="Noto Sans CJK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eastAsia="Noto Sans CJK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eastAsia="Noto Sans CJK S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eastAsia="Noto Sans CJK S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eastAsia="Noto Sans CJK S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</w:pPr>
    <w:rPr>
      <w:rFonts w:cstheme="majorBidi" w:ascii="Noto Sans CJK SC" w:hAnsi="Noto Sans CJK SC" w:eastAsia="Noto Sans CJK SC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eastAsia="Noto Sans CJK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eastAsia="Noto Sans CJK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 w:eastAsia="Noto Sans CJK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 w:eastAsia="Noto Sans CJK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eastAsia="Noto Sans CJK S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eastAsia="Noto Sans CJK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eastAsia="Noto Sans CJK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eastAsia="Noto Sans CJK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eastAsia="Noto Sans CJK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eastAsia="Noto Sans CJK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Noto Sans CJK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eastAsia="Noto Sans CJK SC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eastAsia="Noto Sans CJK SC"/>
        <w:b/>
        <w:bCs/>
      </w:rPr>
    </w:tblStylePr>
    <w:tblStylePr w:type="lastCol">
      <w:rPr>
        <w:rFonts w:cstheme="majorBidi" w:eastAsia="Noto Sans CJK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Noto Sans CJK S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eastAsia="Noto Sans CJK SC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eastAsia="Noto Sans CJK SC"/>
        <w:b/>
        <w:bCs/>
      </w:rPr>
    </w:tblStylePr>
    <w:tblStylePr w:type="lastCol">
      <w:rPr>
        <w:rFonts w:cstheme="majorBidi" w:eastAsia="Noto Sans CJK S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Noto Sans CJK S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eastAsia="Noto Sans CJK SC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eastAsia="Noto Sans CJK SC"/>
        <w:b/>
        <w:bCs/>
      </w:rPr>
    </w:tblStylePr>
    <w:tblStylePr w:type="lastCol">
      <w:rPr>
        <w:rFonts w:cstheme="majorBidi" w:eastAsia="Noto Sans CJK S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Noto Sans CJK S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eastAsia="Noto Sans CJK SC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eastAsia="Noto Sans CJK SC"/>
        <w:b/>
        <w:bCs/>
      </w:rPr>
    </w:tblStylePr>
    <w:tblStylePr w:type="lastCol">
      <w:rPr>
        <w:rFonts w:cstheme="majorBidi" w:eastAsia="Noto Sans CJK S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Noto Sans CJK S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eastAsia="Noto Sans CJK SC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eastAsia="Noto Sans CJK SC"/>
        <w:b/>
        <w:bCs/>
      </w:rPr>
    </w:tblStylePr>
    <w:tblStylePr w:type="lastCol">
      <w:rPr>
        <w:rFonts w:cstheme="majorBidi" w:eastAsia="Noto Sans CJK S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Noto Sans CJK S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eastAsia="Noto Sans CJK SC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eastAsia="Noto Sans CJK SC"/>
        <w:b/>
        <w:bCs/>
      </w:rPr>
    </w:tblStylePr>
    <w:tblStylePr w:type="lastCol">
      <w:rPr>
        <w:rFonts w:cstheme="majorBidi" w:eastAsia="Noto Sans CJK S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Noto Sans CJK S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eastAsia="Noto Sans CJK SC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eastAsia="Noto Sans CJK SC"/>
        <w:b/>
        <w:bCs/>
      </w:rPr>
    </w:tblStylePr>
    <w:tblStylePr w:type="lastCol">
      <w:rPr>
        <w:rFonts w:cstheme="majorBidi" w:eastAsia="Noto Sans CJK S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Noto Sans CJK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Noto Sans CJK S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Noto Sans CJK S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Noto Sans CJK S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Noto Sans CJK S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Noto Sans CJK S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Noto Sans CJK S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kaggle.com/datasets/ealtman2019/ibm-transactions-for-anti-money-laundering-aml" TargetMode="External"/><Relationship Id="rId10" Type="http://schemas.openxmlformats.org/officeDocument/2006/relationships/hyperlink" Target="https://www.austrac.gov.au/industry-and-business/education-and-resources/publications-and-resources/indicators-suspicious-activity-banking-sector" TargetMode="External"/><Relationship Id="rId11" Type="http://schemas.openxmlformats.org/officeDocument/2006/relationships/hyperlink" Target="https://www.austrac.gov.au/industry-and-business/education-and-resources/publications-and-resources/risk-insights-and-indicators-suspicious-activity-accountants" TargetMode="External"/><Relationship Id="rId12" Type="http://schemas.openxmlformats.org/officeDocument/2006/relationships/hyperlink" Target="https://www.austrac.gov.au/industry-and-business/education-and-resources/publications-and-resources/indicators-suspicious-activity-financial-planners-sector" TargetMode="External"/><Relationship Id="rId13" Type="http://schemas.openxmlformats.org/officeDocument/2006/relationships/hyperlink" Target="https://www.austrac.gov.au/industry-and-business/education-and-resources/publications-and-resources/indicators-suspicious-activity-non-bank-lenders-and-financiers" TargetMode="External"/><Relationship Id="rId14" Type="http://schemas.openxmlformats.org/officeDocument/2006/relationships/hyperlink" Target="https://www.austrac.gov.au/industry-and-business/education-and-resources/publications-and-resources/indicators-suspicious-activity-remittance-service-providers-sector" TargetMode="External"/><Relationship Id="rId15" Type="http://schemas.openxmlformats.org/officeDocument/2006/relationships/hyperlink" Target="https://www.austrac.gov.au/industry-and-business/education-and-resources/publications-and-resources/indicators-suspicious-activity-life-insurance-sector" TargetMode="External"/><Relationship Id="rId16" Type="http://schemas.openxmlformats.org/officeDocument/2006/relationships/hyperlink" Target="https://www.austrac.gov.au/industry-and-business/education-and-resources/publications-and-resources/indicators-suspicious-activity-virtual-asset-service-providers" TargetMode="External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IBM 交易风险调查项目可行性报告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