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2549" w14:textId="3E1A2002" w:rsidR="000747F1" w:rsidRDefault="000747F1" w:rsidP="000747F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0747F1">
        <w:rPr>
          <w:b/>
          <w:bCs/>
          <w:sz w:val="28"/>
          <w:szCs w:val="28"/>
        </w:rPr>
        <w:t>Тенденції сучасного спілкування.</w:t>
      </w:r>
    </w:p>
    <w:p w14:paraId="3DC1C02A" w14:textId="4FB679B9" w:rsidR="000747F1" w:rsidRPr="00013424" w:rsidRDefault="000747F1" w:rsidP="00013424">
      <w:pPr>
        <w:pStyle w:val="a4"/>
        <w:shd w:val="clear" w:color="auto" w:fill="FFFFFF"/>
        <w:rPr>
          <w:rFonts w:ascii="Arial" w:hAnsi="Arial" w:cs="Arial"/>
          <w:color w:val="333333"/>
          <w:sz w:val="27"/>
          <w:szCs w:val="27"/>
          <w:lang w:val="uk-UA"/>
        </w:rPr>
      </w:pPr>
      <w:r>
        <w:rPr>
          <w:rFonts w:ascii="Arial" w:hAnsi="Arial" w:cs="Arial"/>
          <w:color w:val="333333"/>
          <w:sz w:val="27"/>
          <w:szCs w:val="27"/>
          <w:lang w:val="uk-UA"/>
        </w:rPr>
        <w:t>С</w:t>
      </w:r>
      <w:r>
        <w:rPr>
          <w:rFonts w:ascii="Arial" w:hAnsi="Arial" w:cs="Arial"/>
          <w:color w:val="333333"/>
          <w:sz w:val="27"/>
          <w:szCs w:val="27"/>
        </w:rPr>
        <w:t>пілкуванн</w:t>
      </w:r>
      <w:r>
        <w:rPr>
          <w:rFonts w:ascii="Arial" w:hAnsi="Arial" w:cs="Arial"/>
          <w:color w:val="333333"/>
          <w:sz w:val="27"/>
          <w:szCs w:val="27"/>
          <w:lang w:val="uk-UA"/>
        </w:rPr>
        <w:t xml:space="preserve">я </w:t>
      </w:r>
      <w:r>
        <w:rPr>
          <w:rFonts w:ascii="Arial" w:hAnsi="Arial" w:cs="Arial"/>
          <w:color w:val="333333"/>
          <w:sz w:val="27"/>
          <w:szCs w:val="27"/>
        </w:rPr>
        <w:t>в сучасному суспільстві характеризується певними особливостями</w:t>
      </w:r>
      <w:r w:rsidR="00013424">
        <w:rPr>
          <w:rFonts w:ascii="Arial" w:hAnsi="Arial" w:cs="Arial"/>
          <w:color w:val="333333"/>
          <w:sz w:val="27"/>
          <w:szCs w:val="27"/>
          <w:lang w:val="uk-UA"/>
        </w:rPr>
        <w:t>:</w:t>
      </w:r>
    </w:p>
    <w:p w14:paraId="4CF5D057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1. Розширюються сфери спілкування.</w:t>
      </w:r>
    </w:p>
    <w:p w14:paraId="0D468595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2. Час спілкування з тими, хто цікавить особистість, неухильно скорочується; багато часу забирає робота, транспорт; на спілкування з близькими залишається все менше часу,</w:t>
      </w:r>
    </w:p>
    <w:p w14:paraId="657F4EC9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3. Збільшується питома вага коротких, поверховий мовленнєвих контактів; люди відучуються виголошувати розлогі монологи.</w:t>
      </w:r>
    </w:p>
    <w:p w14:paraId="5FFE74EC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4. Скорочується час спілкування з людьми за рахунок зростання часу «спілкування» із засобами масової інформації.</w:t>
      </w:r>
    </w:p>
    <w:p w14:paraId="3FD85DE6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5. Ухиляння від спілкування в силу перевантаженості різноманітними типами комунікації протягом дня. Люди втомлюються від спілкування з різними малознайомими чи навіть незнайомими людьми, виконуючи різноманітні службові обов'язки. За спостереженнями сучасних психологів, людина, яка живе у великому місті й добирається до місця роботи кількома видами транспорту, зустрічається за день як мінімум з 10-ма тисячами незнайомих людей, що провокує втому і небажання спілкуватися вдома.</w:t>
      </w:r>
    </w:p>
    <w:p w14:paraId="6A970410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6. Збільшується час примусового спілкування людей похилого віку в сім'ї: в окремих сім'ях старші люди тижнями спілкуються лише з близькими.</w:t>
      </w:r>
    </w:p>
    <w:p w14:paraId="3E83CCE7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7. Розширюється примусове спілкування за місцем роботи. Результат праці людини залежить від узгодженої та ефективної співпраці з іншими колегами, тому надзвичайно важливим чинником є формування доброзичливої атмосфери за місцем роботи.</w:t>
      </w:r>
    </w:p>
    <w:p w14:paraId="615893C1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8. Інтенсифікується спілкування у сфері обслуговування.</w:t>
      </w:r>
    </w:p>
    <w:p w14:paraId="1E294B27" w14:textId="527F875C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9. Зростає рівень знеосіблення спілкування, збільшується кількість ситуацій, в котрих люди спілкуються, не знайомлячись, не вступаючи в особистісні стосунки; відбувається лише інформаційний обмін без налагодження духовних зв'язків.</w:t>
      </w:r>
    </w:p>
    <w:p w14:paraId="3134CA32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10. Накопичення інформації поглинає значно більше часу, ніж її обговорення. Люди дивляться фільми, читають газети, слухають радіо, але менше обговорюють інформацію, яку вони отримали.</w:t>
      </w:r>
    </w:p>
    <w:p w14:paraId="513DAE63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11. Зростає частка емоційного спілкування в загальному обсязі комунікації. Часто спілкування набирає форму емоційного вибуху.</w:t>
      </w:r>
    </w:p>
    <w:p w14:paraId="4657FE15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12. Розширюється сфера застосування усного мовлення. Люди все менше листуються, частіше спілкування відбувається по телефону, із застосуванням Інтернету тощо. Катастрофічне знижується культура писемного мовлення, погіршується грамотність.</w:t>
      </w:r>
    </w:p>
    <w:p w14:paraId="38BB379B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13. Зростає частка спілкування за допомогою засобів сучасного зв'язку (факс, мобільний телефон, електронна пошта, Інтернет).</w:t>
      </w:r>
    </w:p>
    <w:p w14:paraId="01511632" w14:textId="77777777" w:rsidR="000747F1" w:rsidRPr="000747F1" w:rsidRDefault="000747F1" w:rsidP="000747F1">
      <w:pPr>
        <w:pStyle w:val="a4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0747F1">
        <w:rPr>
          <w:rFonts w:ascii="Arial" w:hAnsi="Arial" w:cs="Arial"/>
          <w:color w:val="333333"/>
          <w:sz w:val="22"/>
          <w:szCs w:val="22"/>
        </w:rPr>
        <w:t>14. Скорочується ініціативне спілкування, але збільшується частка спілкування офіційного, примусового, рольового, фатичного.</w:t>
      </w:r>
    </w:p>
    <w:p w14:paraId="49A40807" w14:textId="77777777" w:rsidR="000747F1" w:rsidRDefault="000747F1" w:rsidP="000747F1">
      <w:pPr>
        <w:rPr>
          <w:b/>
          <w:bCs/>
          <w:sz w:val="28"/>
          <w:szCs w:val="28"/>
        </w:rPr>
      </w:pPr>
    </w:p>
    <w:p w14:paraId="6368B27D" w14:textId="77777777" w:rsidR="000747F1" w:rsidRDefault="000747F1" w:rsidP="000747F1">
      <w:pPr>
        <w:rPr>
          <w:b/>
          <w:bCs/>
          <w:sz w:val="28"/>
          <w:szCs w:val="28"/>
        </w:rPr>
      </w:pPr>
    </w:p>
    <w:p w14:paraId="51A8D999" w14:textId="77777777" w:rsidR="000747F1" w:rsidRDefault="000747F1" w:rsidP="000747F1">
      <w:pPr>
        <w:ind w:left="360"/>
        <w:rPr>
          <w:b/>
          <w:bCs/>
          <w:sz w:val="28"/>
          <w:szCs w:val="28"/>
        </w:rPr>
      </w:pPr>
    </w:p>
    <w:p w14:paraId="6B5156AF" w14:textId="3C1B9F2E" w:rsidR="000747F1" w:rsidRPr="00013424" w:rsidRDefault="000747F1" w:rsidP="000747F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013424">
        <w:rPr>
          <w:b/>
          <w:bCs/>
          <w:sz w:val="28"/>
          <w:szCs w:val="28"/>
        </w:rPr>
        <w:lastRenderedPageBreak/>
        <w:t>Невербальні засоби спілкування та їх вплив в інформаційному просторі</w:t>
      </w:r>
    </w:p>
    <w:p w14:paraId="7BBF7698" w14:textId="77777777" w:rsidR="000747F1" w:rsidRPr="00013424" w:rsidRDefault="000747F1" w:rsidP="000747F1">
      <w:pPr>
        <w:shd w:val="clear" w:color="auto" w:fill="FAFAFA"/>
        <w:spacing w:line="330" w:lineRule="atLeast"/>
        <w:jc w:val="both"/>
        <w:rPr>
          <w:rFonts w:ascii="Calibri" w:hAnsi="Calibri" w:cs="Calibri"/>
          <w:color w:val="000000" w:themeColor="text1"/>
        </w:rPr>
      </w:pPr>
      <w:r w:rsidRPr="00013424">
        <w:rPr>
          <w:rFonts w:ascii="Arial" w:hAnsi="Arial" w:cs="Arial"/>
          <w:color w:val="000000" w:themeColor="text1"/>
          <w:lang w:val="uk-UA"/>
        </w:rPr>
        <w:t>Невербальні засоби спілкування:</w:t>
      </w:r>
    </w:p>
    <w:p w14:paraId="7B359A7A" w14:textId="16DDB919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кінесичні – виражають загальну моторику різних частин тіла (</w:t>
      </w:r>
      <w:hyperlink r:id="rId5" w:tooltip="Термінологічний словник: міміка" w:history="1">
        <w:r w:rsidRPr="00013424">
          <w:rPr>
            <w:rStyle w:val="a5"/>
            <w:rFonts w:ascii="Arial" w:hAnsi="Arial" w:cs="Arial"/>
            <w:color w:val="000000" w:themeColor="text1"/>
            <w:spacing w:val="-1"/>
            <w:shd w:val="clear" w:color="auto" w:fill="DDDDDD"/>
            <w:lang w:val="uk-UA"/>
          </w:rPr>
          <w:t>міміка</w:t>
        </w:r>
      </w:hyperlink>
      <w:r w:rsidRPr="00013424">
        <w:rPr>
          <w:rFonts w:ascii="Arial" w:hAnsi="Arial" w:cs="Arial"/>
          <w:color w:val="000000" w:themeColor="text1"/>
          <w:spacing w:val="-1"/>
          <w:lang w:val="uk-UA"/>
        </w:rPr>
        <w:t>, жести, постави, хода, контакт очима);</w:t>
      </w:r>
    </w:p>
    <w:p w14:paraId="527444DD" w14:textId="52AC246A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проксемічні  – пов’язані з організацією простору між його учасниками (відстань між мовцями, просторове розміщення);</w:t>
      </w:r>
    </w:p>
    <w:p w14:paraId="5182A694" w14:textId="5312B39F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екстралінгвістичні охоплюють позамовну сферу, в межах якої розвивається мова. Їх підрозділяють на:</w:t>
      </w:r>
    </w:p>
    <w:p w14:paraId="1C3D62DF" w14:textId="7C9E7BA1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 xml:space="preserve">просодичні </w:t>
      </w:r>
      <w:r w:rsidR="00013424">
        <w:rPr>
          <w:rFonts w:ascii="Arial" w:hAnsi="Arial" w:cs="Arial"/>
          <w:color w:val="000000" w:themeColor="text1"/>
          <w:spacing w:val="-1"/>
          <w:lang w:val="uk-UA"/>
        </w:rPr>
        <w:t>-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 xml:space="preserve"> фонетичні характеристики мовлення (швидкість мови, висота голосу, його тональність і діапазон).</w:t>
      </w:r>
    </w:p>
    <w:p w14:paraId="7A06B616" w14:textId="31E83B52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 xml:space="preserve">таксетичні </w:t>
      </w:r>
      <w:r w:rsidR="00013424">
        <w:rPr>
          <w:rFonts w:ascii="Arial" w:hAnsi="Arial" w:cs="Arial"/>
          <w:color w:val="000000" w:themeColor="text1"/>
          <w:spacing w:val="-1"/>
          <w:lang w:val="uk-UA"/>
        </w:rPr>
        <w:t xml:space="preserve">- 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пов’язані з тактильними особливостями сприйняття (рукостискання, дотики, поплескування);</w:t>
      </w:r>
    </w:p>
    <w:p w14:paraId="6E846938" w14:textId="5424D5C4" w:rsidR="000747F1" w:rsidRPr="00013424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ольфакторні</w:t>
      </w:r>
      <w:r w:rsidR="00013424">
        <w:rPr>
          <w:rFonts w:ascii="Arial" w:hAnsi="Arial" w:cs="Arial"/>
          <w:color w:val="000000" w:themeColor="text1"/>
          <w:spacing w:val="-1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>– вплив на комунікацію запахів тіла, косметики, предметів особистого вжитку;</w:t>
      </w:r>
    </w:p>
    <w:p w14:paraId="68C573AA" w14:textId="1D176B55" w:rsidR="000747F1" w:rsidRDefault="000747F1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Arial" w:hAnsi="Arial" w:cs="Arial"/>
          <w:color w:val="000000" w:themeColor="text1"/>
          <w:spacing w:val="-1"/>
          <w:lang w:val="uk-UA"/>
        </w:rPr>
      </w:pPr>
      <w:r w:rsidRPr="00013424">
        <w:rPr>
          <w:color w:val="000000" w:themeColor="text1"/>
          <w:spacing w:val="-1"/>
          <w:lang w:val="uk-UA"/>
        </w:rPr>
        <w:t>–</w:t>
      </w:r>
      <w:r w:rsidRPr="00013424">
        <w:rPr>
          <w:color w:val="000000" w:themeColor="text1"/>
          <w:spacing w:val="-1"/>
          <w:sz w:val="14"/>
          <w:szCs w:val="14"/>
          <w:lang w:val="uk-UA"/>
        </w:rPr>
        <w:t>           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 xml:space="preserve">хронемічні </w:t>
      </w:r>
      <w:r w:rsidR="00013424">
        <w:rPr>
          <w:rFonts w:ascii="Arial" w:hAnsi="Arial" w:cs="Arial"/>
          <w:color w:val="000000" w:themeColor="text1"/>
          <w:spacing w:val="-1"/>
          <w:lang w:val="uk-UA"/>
        </w:rPr>
        <w:t>-</w:t>
      </w:r>
      <w:r w:rsidRPr="00013424">
        <w:rPr>
          <w:rFonts w:ascii="Arial" w:hAnsi="Arial" w:cs="Arial"/>
          <w:color w:val="000000" w:themeColor="text1"/>
          <w:spacing w:val="-1"/>
          <w:lang w:val="uk-UA"/>
        </w:rPr>
        <w:t xml:space="preserve"> вплив фактора часу на спілкування </w:t>
      </w:r>
    </w:p>
    <w:p w14:paraId="267D6E9A" w14:textId="77777777" w:rsidR="00013424" w:rsidRPr="00013424" w:rsidRDefault="00013424" w:rsidP="000747F1">
      <w:pPr>
        <w:pStyle w:val="a7"/>
        <w:shd w:val="clear" w:color="auto" w:fill="FAFAFA"/>
        <w:spacing w:before="0" w:beforeAutospacing="0" w:after="0" w:afterAutospacing="0" w:line="420" w:lineRule="atLeast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79F3375E" w14:textId="782C381F" w:rsidR="000747F1" w:rsidRPr="00013424" w:rsidRDefault="000747F1" w:rsidP="000747F1">
      <w:pPr>
        <w:shd w:val="clear" w:color="auto" w:fill="FAFAFA"/>
        <w:spacing w:line="330" w:lineRule="atLeast"/>
        <w:jc w:val="both"/>
        <w:rPr>
          <w:rFonts w:ascii="Calibri" w:hAnsi="Calibri" w:cs="Calibri"/>
          <w:color w:val="000000" w:themeColor="text1"/>
        </w:rPr>
      </w:pPr>
      <w:r w:rsidRPr="00013424">
        <w:rPr>
          <w:rFonts w:ascii="Arial" w:hAnsi="Arial" w:cs="Arial"/>
          <w:color w:val="000000" w:themeColor="text1"/>
          <w:lang w:val="uk-UA"/>
        </w:rPr>
        <w:t>У невербальному професійному спілкуванні кінетичні засоби (“мова тіла”) є найуживанішими. Спілкування супроводжується жестами, які є носіями різного типу інформації, виражаючи позитивне або негативне ставлення до співрозмовника й теми розмови, рівність або домінування, відкритість чи закритість та ін. Найчастіше жести засвідчують такі психологічні стани учасників спілкування, як: відкритість, підозра, заперечення, сумнів, готовність, довіра, незадоволення тощо.</w:t>
      </w:r>
    </w:p>
    <w:p w14:paraId="029FFF99" w14:textId="77777777" w:rsidR="000747F1" w:rsidRPr="00013424" w:rsidRDefault="000747F1" w:rsidP="000747F1">
      <w:pPr>
        <w:shd w:val="clear" w:color="auto" w:fill="FAFAFA"/>
        <w:spacing w:line="330" w:lineRule="atLeast"/>
        <w:jc w:val="both"/>
        <w:rPr>
          <w:rFonts w:ascii="Calibri" w:hAnsi="Calibri" w:cs="Calibri"/>
          <w:color w:val="000000" w:themeColor="text1"/>
        </w:rPr>
      </w:pPr>
      <w:r w:rsidRPr="00013424">
        <w:rPr>
          <w:rFonts w:ascii="Arial" w:hAnsi="Arial" w:cs="Arial"/>
          <w:color w:val="000000" w:themeColor="text1"/>
          <w:lang w:val="uk-UA"/>
        </w:rPr>
        <w:t>У міжособистісних відносинах у професійному спілкуванні характерними є такі форми невербальної передачі інформації, як жести з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 окулярами</w:t>
      </w:r>
      <w:r w:rsidRPr="00013424">
        <w:rPr>
          <w:rFonts w:ascii="Arial" w:hAnsi="Arial" w:cs="Arial"/>
          <w:color w:val="000000" w:themeColor="text1"/>
          <w:lang w:val="uk-UA"/>
        </w:rPr>
        <w:t> (можуть свідчити про різноманітні емоційні стани і наміри співрозмовника), 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почісування підборіддя</w:t>
      </w:r>
      <w:r w:rsidRPr="00013424">
        <w:rPr>
          <w:rFonts w:ascii="Arial" w:hAnsi="Arial" w:cs="Arial"/>
          <w:color w:val="000000" w:themeColor="text1"/>
          <w:lang w:val="uk-UA"/>
        </w:rPr>
        <w:t> (свідчить про роздумування, оцінювання), 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машинальне малювання на папері</w:t>
      </w:r>
      <w:r w:rsidRPr="00013424">
        <w:rPr>
          <w:rFonts w:ascii="Arial" w:hAnsi="Arial" w:cs="Arial"/>
          <w:color w:val="000000" w:themeColor="text1"/>
          <w:lang w:val="uk-UA"/>
        </w:rPr>
        <w:t> (свідчить про зниження інтересу до розмови), 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міцно зчеплені руки</w:t>
      </w:r>
      <w:r w:rsidRPr="00013424">
        <w:rPr>
          <w:rFonts w:ascii="Arial" w:hAnsi="Arial" w:cs="Arial"/>
          <w:color w:val="000000" w:themeColor="text1"/>
          <w:lang w:val="uk-UA"/>
        </w:rPr>
        <w:t> (символізують підозру й недовіру), “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порожній погляд</w:t>
      </w:r>
      <w:r w:rsidRPr="00013424">
        <w:rPr>
          <w:rFonts w:ascii="Arial" w:hAnsi="Arial" w:cs="Arial"/>
          <w:color w:val="000000" w:themeColor="text1"/>
          <w:lang w:val="uk-UA"/>
        </w:rPr>
        <w:t>” (застиглість, нерухомість очей співрозмовника свідчать про нудьгу, байдужість), 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постукування по столу, клацання затискачем авторучки </w:t>
      </w:r>
      <w:r w:rsidRPr="00013424">
        <w:rPr>
          <w:rFonts w:ascii="Arial" w:hAnsi="Arial" w:cs="Arial"/>
          <w:color w:val="000000" w:themeColor="text1"/>
          <w:lang w:val="uk-UA"/>
        </w:rPr>
        <w:t>тощо (жести виражають стурбованість співрозмовника), </w:t>
      </w:r>
      <w:r w:rsidRPr="00013424">
        <w:rPr>
          <w:rFonts w:ascii="Arial" w:hAnsi="Arial" w:cs="Arial"/>
          <w:i/>
          <w:iCs/>
          <w:color w:val="000000" w:themeColor="text1"/>
          <w:lang w:val="uk-UA"/>
        </w:rPr>
        <w:t>прикладання рук до грудей</w:t>
      </w:r>
      <w:r w:rsidRPr="00013424">
        <w:rPr>
          <w:rFonts w:ascii="Arial" w:hAnsi="Arial" w:cs="Arial"/>
          <w:color w:val="000000" w:themeColor="text1"/>
          <w:lang w:val="uk-UA"/>
        </w:rPr>
        <w:t> (жест відображає чесність і відкритість) та ін.</w:t>
      </w:r>
    </w:p>
    <w:p w14:paraId="071EB546" w14:textId="15465E95" w:rsidR="00615927" w:rsidRDefault="00013424" w:rsidP="000134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3.</w:t>
      </w:r>
      <w:r w:rsidR="000747F1" w:rsidRPr="00013424">
        <w:rPr>
          <w:b/>
          <w:bCs/>
          <w:sz w:val="28"/>
          <w:szCs w:val="28"/>
        </w:rPr>
        <w:t>Евфемізм і перифраз у професійному спілкуванні</w:t>
      </w:r>
    </w:p>
    <w:p w14:paraId="2D0669D6" w14:textId="53FFD7E6" w:rsidR="00013424" w:rsidRPr="00013424" w:rsidRDefault="00013424" w:rsidP="00013424">
      <w:pPr>
        <w:rPr>
          <w:rFonts w:ascii="Arial" w:hAnsi="Arial" w:cs="Arial"/>
          <w:color w:val="000000" w:themeColor="text1"/>
          <w:shd w:val="clear" w:color="auto" w:fill="FFFFFF"/>
        </w:rPr>
      </w:pPr>
      <w:r w:rsidRPr="00013424">
        <w:rPr>
          <w:rFonts w:ascii="Arial" w:hAnsi="Arial" w:cs="Arial"/>
          <w:color w:val="000000" w:themeColor="text1"/>
          <w:shd w:val="clear" w:color="auto" w:fill="FFFFFF"/>
        </w:rPr>
        <w:t>Використання синонімів урізноманітнює наше мовлення, допомагає оригінально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оформити думку, уникнути повторів. Синоніми роблять мовлення гнучким, яскравим,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колоритним, образним.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Елементами синонімічного ряду можуть бути евфемізми і перифрази. Вони є</w:t>
      </w:r>
      <w:r w:rsidRPr="00013424">
        <w:rPr>
          <w:rFonts w:ascii="Arial" w:hAnsi="Arial" w:cs="Arial"/>
          <w:color w:val="000000" w:themeColor="text1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важливими засобами синонімічних замін при творенні текстів. Щоб уникнути</w:t>
      </w:r>
      <w:r w:rsidRPr="00013424">
        <w:rPr>
          <w:rFonts w:ascii="Arial" w:hAnsi="Arial" w:cs="Arial"/>
          <w:color w:val="000000" w:themeColor="text1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повторів, часто</w:t>
      </w:r>
      <w:r w:rsidRPr="00013424">
        <w:rPr>
          <w:rFonts w:ascii="Arial" w:hAnsi="Arial" w:cs="Arial"/>
          <w:color w:val="000000" w:themeColor="text1"/>
          <w:shd w:val="clear" w:color="auto" w:fill="FFFFFF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використовують перифрази (від грец. periphrasis — описовий вираз).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Наприклад: Т. Г. Шевченко — великий Кобзар.</w:t>
      </w:r>
    </w:p>
    <w:p w14:paraId="47A72F8D" w14:textId="116E8E23" w:rsidR="00013424" w:rsidRPr="00013424" w:rsidRDefault="00013424" w:rsidP="00013424">
      <w:pPr>
        <w:rPr>
          <w:rFonts w:ascii="Arial" w:hAnsi="Arial" w:cs="Arial"/>
          <w:color w:val="000000" w:themeColor="text1"/>
          <w:shd w:val="clear" w:color="auto" w:fill="FFFFFF"/>
        </w:rPr>
      </w:pPr>
      <w:r w:rsidRPr="00013424">
        <w:rPr>
          <w:rFonts w:ascii="Arial" w:hAnsi="Arial" w:cs="Arial"/>
          <w:color w:val="000000" w:themeColor="text1"/>
          <w:shd w:val="clear" w:color="auto" w:fill="FFFFFF"/>
        </w:rPr>
        <w:t>Усувати одноманітність у мовленні допомагає не тільки використання синонімів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окремих слів, а й уживання родових назв замість видових. Наприклад: замість тиф,</w:t>
      </w:r>
      <w:r w:rsidRPr="00013424">
        <w:rPr>
          <w:rFonts w:ascii="Arial" w:hAnsi="Arial" w:cs="Arial"/>
          <w:color w:val="000000" w:themeColor="text1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туберкульоз вживається родове поняття хвороба, недуга.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Щоб уникнути небажаної точної назви предмета, ознаки, події, вживають</w:t>
      </w:r>
      <w:r w:rsidRPr="00013424">
        <w:rPr>
          <w:rFonts w:ascii="Arial" w:hAnsi="Arial" w:cs="Arial"/>
          <w:color w:val="000000" w:themeColor="text1"/>
          <w:shd w:val="clear" w:color="auto" w:fill="FFFFFF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евфе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softHyphen/>
        <w:t>мізми (від грец. euphimismos — говорю ввічливо). Наприклад: брехати — помилятися,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говорити неправду, відходити від істини.</w:t>
      </w:r>
      <w:r w:rsidRPr="00013424">
        <w:rPr>
          <w:rFonts w:ascii="Arial" w:hAnsi="Arial" w:cs="Arial"/>
          <w:color w:val="000000" w:themeColor="text1"/>
        </w:rPr>
        <w:br/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lastRenderedPageBreak/>
        <w:t>Уміння користуватися синонімами залежить від глибини знання вами словни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softHyphen/>
        <w:t>кового складу й синонімічного багатства як літературної, так і розмовної мови. Цьому</w:t>
      </w:r>
      <w:r w:rsidRPr="00013424">
        <w:rPr>
          <w:rFonts w:ascii="Arial" w:hAnsi="Arial" w:cs="Arial"/>
          <w:color w:val="000000" w:themeColor="text1"/>
          <w:lang w:val="uk-UA"/>
        </w:rPr>
        <w:t xml:space="preserve"> </w:t>
      </w:r>
      <w:r w:rsidRPr="00013424">
        <w:rPr>
          <w:rFonts w:ascii="Arial" w:hAnsi="Arial" w:cs="Arial"/>
          <w:color w:val="000000" w:themeColor="text1"/>
          <w:shd w:val="clear" w:color="auto" w:fill="FFFFFF"/>
        </w:rPr>
        <w:t>сприятиме постійна робота зі «Словником синонімів української мови».</w:t>
      </w:r>
    </w:p>
    <w:p w14:paraId="7B06D059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29188D48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09B1B2F6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750F8486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3549EBCB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22407B95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7D0BD81D" w14:textId="42DA9443" w:rsidR="000747F1" w:rsidRDefault="00013424" w:rsidP="000747F1">
      <w:pPr>
        <w:ind w:left="360"/>
        <w:rPr>
          <w:b/>
          <w:bCs/>
          <w:sz w:val="28"/>
          <w:szCs w:val="28"/>
        </w:rPr>
      </w:pPr>
      <w:hyperlink r:id="rId6" w:history="1">
        <w:r w:rsidRPr="00910F19">
          <w:rPr>
            <w:rStyle w:val="a5"/>
            <w:b/>
            <w:bCs/>
            <w:sz w:val="28"/>
            <w:szCs w:val="28"/>
          </w:rPr>
          <w:t>https://studopedia.org/8-26254.html</w:t>
        </w:r>
      </w:hyperlink>
    </w:p>
    <w:p w14:paraId="43E63B70" w14:textId="266888B9" w:rsidR="00013424" w:rsidRDefault="00013424" w:rsidP="000747F1">
      <w:pPr>
        <w:ind w:left="360"/>
        <w:rPr>
          <w:b/>
          <w:bCs/>
          <w:sz w:val="28"/>
          <w:szCs w:val="28"/>
        </w:rPr>
      </w:pPr>
      <w:hyperlink r:id="rId7" w:history="1">
        <w:r w:rsidRPr="00910F19">
          <w:rPr>
            <w:rStyle w:val="a5"/>
            <w:b/>
            <w:bCs/>
            <w:sz w:val="28"/>
            <w:szCs w:val="28"/>
          </w:rPr>
          <w:t>http://moodle.ipo.kpi.ua/moodle/mod/resource/view.php?id=49637</w:t>
        </w:r>
      </w:hyperlink>
    </w:p>
    <w:p w14:paraId="1351E4DF" w14:textId="44FE651F" w:rsidR="00013424" w:rsidRDefault="00013424" w:rsidP="000747F1">
      <w:pPr>
        <w:ind w:left="360"/>
        <w:rPr>
          <w:b/>
          <w:bCs/>
          <w:sz w:val="28"/>
          <w:szCs w:val="28"/>
        </w:rPr>
      </w:pPr>
      <w:hyperlink r:id="rId8" w:history="1">
        <w:r w:rsidRPr="00910F19">
          <w:rPr>
            <w:rStyle w:val="a5"/>
            <w:b/>
            <w:bCs/>
            <w:sz w:val="28"/>
            <w:szCs w:val="28"/>
          </w:rPr>
          <w:t>http://litmisto.org.ua/?p=5812</w:t>
        </w:r>
      </w:hyperlink>
    </w:p>
    <w:p w14:paraId="6C88D2E1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27748107" w14:textId="77777777" w:rsidR="00013424" w:rsidRDefault="00013424" w:rsidP="000747F1">
      <w:pPr>
        <w:ind w:left="360"/>
        <w:rPr>
          <w:b/>
          <w:bCs/>
          <w:sz w:val="28"/>
          <w:szCs w:val="28"/>
        </w:rPr>
      </w:pPr>
    </w:p>
    <w:p w14:paraId="62C89F3F" w14:textId="77777777" w:rsidR="000747F1" w:rsidRPr="000747F1" w:rsidRDefault="000747F1" w:rsidP="000747F1">
      <w:pPr>
        <w:ind w:left="360"/>
        <w:rPr>
          <w:b/>
          <w:bCs/>
          <w:sz w:val="28"/>
          <w:szCs w:val="28"/>
        </w:rPr>
      </w:pPr>
    </w:p>
    <w:sectPr w:rsidR="000747F1" w:rsidRPr="000747F1" w:rsidSect="00074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3D2"/>
    <w:multiLevelType w:val="hybridMultilevel"/>
    <w:tmpl w:val="8220A2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2"/>
    <w:rsid w:val="00013424"/>
    <w:rsid w:val="000747F1"/>
    <w:rsid w:val="001C2F22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1A25"/>
  <w15:chartTrackingRefBased/>
  <w15:docId w15:val="{39B4C9BB-7BF0-446A-8BC9-96661D90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0"/>
    <w:uiPriority w:val="99"/>
    <w:unhideWhenUsed/>
    <w:rsid w:val="000747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47F1"/>
    <w:rPr>
      <w:color w:val="605E5C"/>
      <w:shd w:val="clear" w:color="auto" w:fill="E1DFDD"/>
    </w:rPr>
  </w:style>
  <w:style w:type="paragraph" w:styleId="a7">
    <w:name w:val="Body Text Indent"/>
    <w:basedOn w:val="a"/>
    <w:link w:val="a8"/>
    <w:uiPriority w:val="99"/>
    <w:semiHidden/>
    <w:unhideWhenUsed/>
    <w:rsid w:val="0007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747F1"/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tmisto.org.ua/?p=58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ipo.kpi.ua/moodle/mod/resource/view.php?id=496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org/8-26254.html" TargetMode="External"/><Relationship Id="rId5" Type="http://schemas.openxmlformats.org/officeDocument/2006/relationships/hyperlink" Target="http://moodle.ipo.kpi.ua/moodle/mod/glossary/showentry.php?courseid=1305&amp;concept=%D0%BC%D1%96%D0%BC%D1%96%D0%BA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2021-11-23T15:28:00Z</dcterms:created>
  <dcterms:modified xsi:type="dcterms:W3CDTF">2021-11-23T15:47:00Z</dcterms:modified>
</cp:coreProperties>
</file>