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7C814" w14:textId="77777777" w:rsidR="00A856D4" w:rsidRPr="00CA5380" w:rsidRDefault="00824287" w:rsidP="0062705D">
      <w:pPr>
        <w:pStyle w:val="2"/>
        <w:spacing w:before="0" w:line="240" w:lineRule="auto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Основи приватного (цивільного, господарського) права</w:t>
      </w:r>
      <w:r w:rsidR="0062705D"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(частина 1)</w:t>
      </w:r>
    </w:p>
    <w:p w14:paraId="51D38D78" w14:textId="77777777" w:rsidR="0062705D" w:rsidRPr="0062705D" w:rsidRDefault="0062705D" w:rsidP="0062705D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</w:pPr>
      <w:r w:rsidRPr="0062705D"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  <w:t>(теоретичні питання)</w:t>
      </w:r>
    </w:p>
    <w:p w14:paraId="3BE70524" w14:textId="77777777" w:rsidR="00A856D4" w:rsidRPr="00CA5380" w:rsidRDefault="00440DC6" w:rsidP="0062705D">
      <w:pPr>
        <w:pStyle w:val="2"/>
        <w:spacing w:before="0" w:line="240" w:lineRule="auto"/>
        <w:rPr>
          <w:rFonts w:ascii="Times New Roman" w:eastAsia="Calibri" w:hAnsi="Times New Roman" w:cs="Times New Roman"/>
          <w:b/>
          <w:bCs/>
          <w:color w:val="auto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b/>
          <w:bCs/>
          <w:color w:val="auto"/>
          <w:sz w:val="20"/>
          <w:szCs w:val="20"/>
          <w:lang w:val="uk-UA"/>
        </w:rPr>
        <w:t>Питання для обговорення</w:t>
      </w:r>
      <w:r w:rsidR="0062705D" w:rsidRPr="00CA5380">
        <w:rPr>
          <w:rFonts w:ascii="Times New Roman" w:eastAsia="Calibri" w:hAnsi="Times New Roman" w:cs="Times New Roman"/>
          <w:b/>
          <w:bCs/>
          <w:color w:val="auto"/>
          <w:sz w:val="20"/>
          <w:szCs w:val="20"/>
          <w:lang w:val="uk-UA"/>
        </w:rPr>
        <w:t>:</w:t>
      </w:r>
    </w:p>
    <w:p w14:paraId="28BD1A09" w14:textId="77777777" w:rsidR="00824287" w:rsidRPr="00CA5380" w:rsidRDefault="00824287" w:rsidP="0062705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  <w:lang w:val="uk-UA"/>
        </w:rPr>
      </w:pPr>
      <w:bookmarkStart w:id="0" w:name="_Hlk86363843"/>
      <w:r w:rsidRPr="00CA5380">
        <w:rPr>
          <w:rFonts w:ascii="Times New Roman" w:eastAsia="Calibri" w:hAnsi="Times New Roman" w:cs="Times New Roman"/>
          <w:b/>
          <w:bCs/>
          <w:sz w:val="20"/>
          <w:szCs w:val="20"/>
          <w:lang w:val="uk-UA"/>
        </w:rPr>
        <w:t xml:space="preserve">1. Загальна характеристика цивільного права України. Цивільно-правові відносини. </w:t>
      </w:r>
    </w:p>
    <w:p w14:paraId="799C8A95" w14:textId="77777777" w:rsidR="00824287" w:rsidRPr="00CA5380" w:rsidRDefault="00824287" w:rsidP="0062705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b/>
          <w:bCs/>
          <w:sz w:val="20"/>
          <w:szCs w:val="20"/>
          <w:lang w:val="uk-UA"/>
        </w:rPr>
        <w:t>2. Особисті немайнові права, що забезпечують природне існування і соціальне буття фізичної особи.</w:t>
      </w:r>
    </w:p>
    <w:p w14:paraId="057D62A1" w14:textId="77777777" w:rsidR="00824287" w:rsidRPr="00CA5380" w:rsidRDefault="00824287" w:rsidP="0062705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b/>
          <w:bCs/>
          <w:sz w:val="20"/>
          <w:szCs w:val="20"/>
          <w:lang w:val="uk-UA"/>
        </w:rPr>
        <w:t>4. Поняття та види договірних зобов’язань.</w:t>
      </w:r>
    </w:p>
    <w:p w14:paraId="363D6E90" w14:textId="77777777" w:rsidR="00824287" w:rsidRPr="00CA5380" w:rsidRDefault="00824287" w:rsidP="0062705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b/>
          <w:bCs/>
          <w:sz w:val="20"/>
          <w:szCs w:val="20"/>
          <w:lang w:val="uk-UA"/>
        </w:rPr>
        <w:t>5. Цивільно-правова відповідальність.</w:t>
      </w:r>
    </w:p>
    <w:bookmarkEnd w:id="0"/>
    <w:p w14:paraId="6DC76D5D" w14:textId="77777777" w:rsidR="00A856D4" w:rsidRPr="00CA5380" w:rsidRDefault="00A856D4" w:rsidP="006270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6BB8DF0" w14:textId="77777777" w:rsidR="0062705D" w:rsidRPr="0062705D" w:rsidRDefault="0062705D" w:rsidP="0062705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62705D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Необхідно вміти пояснити: </w:t>
      </w:r>
    </w:p>
    <w:p w14:paraId="3440DB1F" w14:textId="77777777" w:rsidR="00FB5067" w:rsidRPr="00CA5380" w:rsidRDefault="00FB5067" w:rsidP="0062705D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«цивільне право як галузь права», предмет цивільно-правового регулювання,</w:t>
      </w:r>
    </w:p>
    <w:p w14:paraId="3723112C" w14:textId="77777777" w:rsidR="00FB5067" w:rsidRPr="00CA5380" w:rsidRDefault="00FB5067" w:rsidP="0062705D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принципи цивільного права, метод цивільно-правового регулювання,</w:t>
      </w:r>
    </w:p>
    <w:p w14:paraId="5756A7D0" w14:textId="77777777" w:rsidR="00FB5067" w:rsidRPr="00CA5380" w:rsidRDefault="00FB5067" w:rsidP="0062705D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учасники цивільних відносин,</w:t>
      </w:r>
    </w:p>
    <w:p w14:paraId="3270C6CE" w14:textId="77777777" w:rsidR="00FB5067" w:rsidRPr="00CA5380" w:rsidRDefault="00FB5067" w:rsidP="0062705D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способи захисту цивільних прав,</w:t>
      </w:r>
    </w:p>
    <w:p w14:paraId="2B87AA6C" w14:textId="77777777" w:rsidR="00FB5067" w:rsidRPr="00CA5380" w:rsidRDefault="00FB5067" w:rsidP="0062705D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види цивільних правовідносин,</w:t>
      </w:r>
    </w:p>
    <w:p w14:paraId="0EA1C60E" w14:textId="77777777" w:rsidR="0062705D" w:rsidRPr="00CA5380" w:rsidRDefault="0062705D" w:rsidP="0062705D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основні права, що передбачені Цивільним кодексом України</w:t>
      </w:r>
      <w:r w:rsidRPr="0062705D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, </w:t>
      </w:r>
    </w:p>
    <w:p w14:paraId="6F37D23D" w14:textId="77777777" w:rsidR="00010A18" w:rsidRPr="00CA5380" w:rsidRDefault="00010A18" w:rsidP="0062705D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особисті немайнові відносини, пов’язані з майновими,</w:t>
      </w:r>
    </w:p>
    <w:p w14:paraId="4B894F1E" w14:textId="77777777" w:rsidR="00010A18" w:rsidRPr="00CA5380" w:rsidRDefault="00010A18" w:rsidP="0062705D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особисті немайнові відносини, не пов’язані з майновими,</w:t>
      </w:r>
    </w:p>
    <w:p w14:paraId="6DAD0D89" w14:textId="77777777" w:rsidR="005D124B" w:rsidRPr="00CA5380" w:rsidRDefault="005D124B" w:rsidP="0062705D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особисті немайнові права, що забезпечують природне існування фізичної особи,</w:t>
      </w:r>
    </w:p>
    <w:p w14:paraId="22ED203B" w14:textId="77777777" w:rsidR="005D124B" w:rsidRPr="00CA5380" w:rsidRDefault="005D124B" w:rsidP="0062705D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особист</w:t>
      </w:r>
      <w:r w:rsidR="007050FC">
        <w:rPr>
          <w:rFonts w:ascii="Times New Roman" w:eastAsia="Calibri" w:hAnsi="Times New Roman" w:cs="Times New Roman"/>
          <w:sz w:val="20"/>
          <w:szCs w:val="20"/>
          <w:lang w:val="uk-UA"/>
        </w:rPr>
        <w:t>і</w:t>
      </w: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немайнов</w:t>
      </w:r>
      <w:r w:rsidR="007050FC">
        <w:rPr>
          <w:rFonts w:ascii="Times New Roman" w:eastAsia="Calibri" w:hAnsi="Times New Roman" w:cs="Times New Roman"/>
          <w:sz w:val="20"/>
          <w:szCs w:val="20"/>
          <w:lang w:val="uk-UA"/>
        </w:rPr>
        <w:t>і</w:t>
      </w: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прав</w:t>
      </w:r>
      <w:r w:rsidR="007050FC">
        <w:rPr>
          <w:rFonts w:ascii="Times New Roman" w:eastAsia="Calibri" w:hAnsi="Times New Roman" w:cs="Times New Roman"/>
          <w:sz w:val="20"/>
          <w:szCs w:val="20"/>
          <w:lang w:val="uk-UA"/>
        </w:rPr>
        <w:t>а</w:t>
      </w: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, що забезпечують соціальне буття</w:t>
      </w:r>
      <w:r w:rsidR="007050FC" w:rsidRPr="007050FC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r w:rsidR="007050FC"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фізичної особи</w:t>
      </w: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,</w:t>
      </w:r>
    </w:p>
    <w:p w14:paraId="7DFA3ACA" w14:textId="77777777" w:rsidR="005D124B" w:rsidRPr="0062705D" w:rsidRDefault="005D124B" w:rsidP="0062705D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поняття зобов’язання, його ознаки, зміст, підстави виникнення зобов’язань, види зобов’язань, </w:t>
      </w:r>
    </w:p>
    <w:p w14:paraId="03AE62E7" w14:textId="77777777" w:rsidR="0062705D" w:rsidRPr="00CA5380" w:rsidRDefault="005D124B" w:rsidP="00FB5067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bookmarkStart w:id="1" w:name="_Hlk100431231"/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поняття» договір», особливості «договірного права», </w:t>
      </w:r>
      <w:r w:rsidR="0062705D"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зміст договору</w:t>
      </w: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, істотні умови,</w:t>
      </w:r>
      <w:r w:rsidR="0062705D"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види цивільно-правових договорів, </w:t>
      </w:r>
    </w:p>
    <w:p w14:paraId="5414F3C9" w14:textId="77777777" w:rsidR="005D124B" w:rsidRPr="00CA5380" w:rsidRDefault="005D124B" w:rsidP="00FB5067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цивільно-правова відповідальність, принципи цивільно-правової відповідальності</w:t>
      </w:r>
    </w:p>
    <w:bookmarkEnd w:id="1"/>
    <w:p w14:paraId="42D944E1" w14:textId="77777777" w:rsidR="00FB5067" w:rsidRPr="00CA5380" w:rsidRDefault="00FB5067" w:rsidP="00FB5067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14:paraId="243443EE" w14:textId="77777777" w:rsidR="00FB5067" w:rsidRPr="00CA5380" w:rsidRDefault="00FB5067" w:rsidP="00FB5067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яка саме відмінність між такими поняттями, як:</w:t>
      </w:r>
    </w:p>
    <w:p w14:paraId="041ED349" w14:textId="77777777" w:rsidR="00FB5067" w:rsidRPr="00CA5380" w:rsidRDefault="00FB5067" w:rsidP="00FB5067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публічне право – приватне право, </w:t>
      </w:r>
    </w:p>
    <w:p w14:paraId="2D9C587C" w14:textId="77777777" w:rsidR="00FB5067" w:rsidRPr="00CA5380" w:rsidRDefault="00FB5067" w:rsidP="00FB5067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цивільна дієздатність - цивільна правоздатність, </w:t>
      </w:r>
    </w:p>
    <w:p w14:paraId="61FB5307" w14:textId="77777777" w:rsidR="00FB5067" w:rsidRPr="00CA5380" w:rsidRDefault="00FB5067" w:rsidP="00FB5067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фізична особа - юридична особа; </w:t>
      </w:r>
    </w:p>
    <w:p w14:paraId="01AD266A" w14:textId="77777777" w:rsidR="0062705D" w:rsidRPr="00CA5380" w:rsidRDefault="00FB5067" w:rsidP="00FB5067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речі – майно,</w:t>
      </w:r>
    </w:p>
    <w:p w14:paraId="6AA74F14" w14:textId="77777777" w:rsidR="00FB5067" w:rsidRPr="00CA5380" w:rsidRDefault="00FB5067" w:rsidP="00FB5067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рухомі речі – нерухомі речі,</w:t>
      </w:r>
    </w:p>
    <w:p w14:paraId="2F91904E" w14:textId="77777777" w:rsidR="00FB5067" w:rsidRPr="00CA5380" w:rsidRDefault="00FB5067" w:rsidP="00FB5067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подільні речі – неподільні речі,</w:t>
      </w:r>
    </w:p>
    <w:p w14:paraId="7E59C93D" w14:textId="77777777" w:rsidR="00FB5067" w:rsidRPr="00CA5380" w:rsidRDefault="00FB5067" w:rsidP="00FB5067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індивідуально визначені речі - такі, що визначаються родовими ознаками</w:t>
      </w:r>
    </w:p>
    <w:p w14:paraId="558A1F3F" w14:textId="77777777" w:rsidR="00FB5067" w:rsidRPr="00CA5380" w:rsidRDefault="00FB5067" w:rsidP="00FB5067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споживні речі та неспоживні</w:t>
      </w:r>
      <w:r w:rsidR="008A77BF"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речі,</w:t>
      </w:r>
    </w:p>
    <w:p w14:paraId="2EDD97EB" w14:textId="77777777" w:rsidR="008A77BF" w:rsidRPr="00CA5380" w:rsidRDefault="008A77BF" w:rsidP="00FB5067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головні та приналежні речі</w:t>
      </w:r>
      <w:r w:rsidR="005D124B"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,</w:t>
      </w:r>
    </w:p>
    <w:p w14:paraId="0619D8A8" w14:textId="77777777" w:rsidR="005D124B" w:rsidRPr="00CA5380" w:rsidRDefault="005D124B" w:rsidP="00FB5067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речові права і права, що виникають із зобов’язань,</w:t>
      </w:r>
    </w:p>
    <w:p w14:paraId="2899670B" w14:textId="77777777" w:rsidR="008A77BF" w:rsidRPr="00CA5380" w:rsidRDefault="008A77BF" w:rsidP="00FB5067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частка в статутному</w:t>
      </w:r>
      <w:r w:rsidR="00010A18"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капіталі – майновий комплекс/</w:t>
      </w:r>
      <w:r w:rsidR="007050FC"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підприємство</w:t>
      </w:r>
    </w:p>
    <w:p w14:paraId="2012EBD0" w14:textId="77777777" w:rsidR="005D124B" w:rsidRPr="00CA5380" w:rsidRDefault="005D124B" w:rsidP="00FB5067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солідарна відповідальність – субсидіарна відповідальність</w:t>
      </w:r>
    </w:p>
    <w:p w14:paraId="10ED43BC" w14:textId="77777777" w:rsidR="005D124B" w:rsidRPr="00CA5380" w:rsidRDefault="005D124B" w:rsidP="00FB5067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>форс мажор – поважні причини</w:t>
      </w:r>
    </w:p>
    <w:p w14:paraId="794C4D79" w14:textId="77777777" w:rsidR="00FB5067" w:rsidRPr="00FB5067" w:rsidRDefault="00FB5067" w:rsidP="00FB5067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</w:pPr>
    </w:p>
    <w:p w14:paraId="7F45146A" w14:textId="77777777" w:rsidR="00FB5067" w:rsidRPr="00BA57CC" w:rsidRDefault="00FB5067" w:rsidP="00BA57CC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0"/>
          <w:szCs w:val="20"/>
          <w:lang w:val="uk-UA"/>
        </w:rPr>
      </w:pPr>
      <w:r w:rsidRPr="00FB5067">
        <w:rPr>
          <w:rFonts w:ascii="Times New Roman" w:eastAsia="Calibri" w:hAnsi="Times New Roman" w:cs="Times New Roman"/>
          <w:b/>
          <w:bCs/>
          <w:i/>
          <w:iCs/>
          <w:sz w:val="20"/>
          <w:szCs w:val="20"/>
          <w:lang w:val="uk-UA"/>
        </w:rPr>
        <w:t>Підготувати:</w:t>
      </w:r>
    </w:p>
    <w:p w14:paraId="13FCCADB" w14:textId="233A121A" w:rsidR="006C13BB" w:rsidRPr="00174DD2" w:rsidRDefault="007050FC" w:rsidP="006C13BB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sz w:val="20"/>
          <w:szCs w:val="20"/>
          <w:lang w:val="uk-UA"/>
        </w:rPr>
      </w:pPr>
      <w:r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  <w:t xml:space="preserve"> </w:t>
      </w:r>
      <w:r w:rsidR="006C13BB" w:rsidRPr="00CA5380"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  <w:t>Заповніть: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C13BB" w:rsidRPr="006C13BB" w14:paraId="4453FD0E" w14:textId="77777777" w:rsidTr="00354764">
        <w:tc>
          <w:tcPr>
            <w:tcW w:w="9345" w:type="dxa"/>
            <w:gridSpan w:val="4"/>
          </w:tcPr>
          <w:p w14:paraId="63FEE2E9" w14:textId="77777777" w:rsidR="006C13BB" w:rsidRPr="006C13BB" w:rsidRDefault="006C13BB" w:rsidP="006C13BB">
            <w:pPr>
              <w:numPr>
                <w:ilvl w:val="0"/>
                <w:numId w:val="10"/>
              </w:numPr>
              <w:ind w:left="0"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6C13BB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Цивільна дієздатність та цивільна правоздатність фізичних осіб</w:t>
            </w:r>
            <w:r w:rsidRPr="006C13B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</w:tc>
      </w:tr>
      <w:tr w:rsidR="006C13BB" w:rsidRPr="006C13BB" w14:paraId="6528147B" w14:textId="77777777" w:rsidTr="00354764">
        <w:tc>
          <w:tcPr>
            <w:tcW w:w="4672" w:type="dxa"/>
            <w:gridSpan w:val="2"/>
          </w:tcPr>
          <w:p w14:paraId="651FD7F4" w14:textId="77777777" w:rsidR="006C13BB" w:rsidRPr="006C13BB" w:rsidRDefault="006C13BB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336" w:type="dxa"/>
          </w:tcPr>
          <w:p w14:paraId="11AC8BA0" w14:textId="77777777" w:rsidR="006C13BB" w:rsidRPr="006C13BB" w:rsidRDefault="006C13BB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6C13B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Цивільна правоздатність</w:t>
            </w:r>
          </w:p>
        </w:tc>
        <w:tc>
          <w:tcPr>
            <w:tcW w:w="2337" w:type="dxa"/>
          </w:tcPr>
          <w:p w14:paraId="237546C1" w14:textId="77777777" w:rsidR="006C13BB" w:rsidRPr="006C13BB" w:rsidRDefault="006C13BB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6C13B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Цивільна дієздатність</w:t>
            </w:r>
          </w:p>
        </w:tc>
      </w:tr>
      <w:tr w:rsidR="006C13BB" w:rsidRPr="006C13BB" w14:paraId="5BAC8DEC" w14:textId="77777777" w:rsidTr="00354764">
        <w:tc>
          <w:tcPr>
            <w:tcW w:w="4672" w:type="dxa"/>
            <w:gridSpan w:val="2"/>
          </w:tcPr>
          <w:p w14:paraId="4DA69FA1" w14:textId="77777777" w:rsidR="006C13BB" w:rsidRPr="006C13BB" w:rsidRDefault="006C13BB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6C13B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1. Зміст поняття</w:t>
            </w:r>
          </w:p>
        </w:tc>
        <w:tc>
          <w:tcPr>
            <w:tcW w:w="2336" w:type="dxa"/>
          </w:tcPr>
          <w:p w14:paraId="0C46C160" w14:textId="42430769" w:rsidR="006C13BB" w:rsidRPr="006C13BB" w:rsidRDefault="002957BA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Здатність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особи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мати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цивільні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права та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обов’язки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37" w:type="dxa"/>
          </w:tcPr>
          <w:p w14:paraId="11754A35" w14:textId="3AD4F6F7" w:rsidR="006C13BB" w:rsidRPr="006C13BB" w:rsidRDefault="002957BA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Здатність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особи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самостійно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реалізовувати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свої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права та нести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обов’язки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6C13BB" w:rsidRPr="006C13BB" w14:paraId="1B944DCB" w14:textId="77777777" w:rsidTr="00354764">
        <w:tc>
          <w:tcPr>
            <w:tcW w:w="4672" w:type="dxa"/>
            <w:gridSpan w:val="2"/>
          </w:tcPr>
          <w:p w14:paraId="05CD7932" w14:textId="77777777" w:rsidR="006C13BB" w:rsidRPr="006C13BB" w:rsidRDefault="006C13BB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6C13B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2. Виникнення</w:t>
            </w:r>
          </w:p>
        </w:tc>
        <w:tc>
          <w:tcPr>
            <w:tcW w:w="2336" w:type="dxa"/>
          </w:tcPr>
          <w:p w14:paraId="36AF1A34" w14:textId="64DBCBCF" w:rsidR="006C13BB" w:rsidRPr="006C13BB" w:rsidRDefault="002957BA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Виникає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з моменту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народження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особи і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триває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до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її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смерті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37" w:type="dxa"/>
          </w:tcPr>
          <w:p w14:paraId="768D08B7" w14:textId="72DAF6BC" w:rsidR="006C13BB" w:rsidRPr="006C13BB" w:rsidRDefault="002957BA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Виникає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поступово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часткова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дієздатність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– з 14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років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повна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дієздатність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– з 18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років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6C13BB" w:rsidRPr="006C13BB" w14:paraId="495EC4E6" w14:textId="77777777" w:rsidTr="00354764">
        <w:tc>
          <w:tcPr>
            <w:tcW w:w="4672" w:type="dxa"/>
            <w:gridSpan w:val="2"/>
          </w:tcPr>
          <w:p w14:paraId="23791B39" w14:textId="77777777" w:rsidR="006C13BB" w:rsidRPr="006C13BB" w:rsidRDefault="006C13BB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6C13B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3. Можливість обмеження</w:t>
            </w:r>
          </w:p>
        </w:tc>
        <w:tc>
          <w:tcPr>
            <w:tcW w:w="2336" w:type="dxa"/>
          </w:tcPr>
          <w:p w14:paraId="78160F34" w14:textId="2B822166" w:rsidR="006C13BB" w:rsidRPr="006C13BB" w:rsidRDefault="002957BA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Обмеження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неможливе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37" w:type="dxa"/>
          </w:tcPr>
          <w:p w14:paraId="01523242" w14:textId="339BB5B7" w:rsidR="006C13BB" w:rsidRPr="006C13BB" w:rsidRDefault="002957BA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Може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бути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обмежена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судом (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наприклад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через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психічні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захворювання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чи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надмірне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вживання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алкоголю).</w:t>
            </w:r>
          </w:p>
        </w:tc>
      </w:tr>
      <w:tr w:rsidR="006C13BB" w:rsidRPr="006C13BB" w14:paraId="0801E6A6" w14:textId="77777777" w:rsidTr="00354764">
        <w:tc>
          <w:tcPr>
            <w:tcW w:w="4672" w:type="dxa"/>
            <w:gridSpan w:val="2"/>
          </w:tcPr>
          <w:p w14:paraId="53B48ADD" w14:textId="77777777" w:rsidR="006C13BB" w:rsidRPr="006C13BB" w:rsidRDefault="006C13BB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6C13B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4. Можливість позбавлення (визнання особи недієздатною; неправоздатною)</w:t>
            </w:r>
          </w:p>
        </w:tc>
        <w:tc>
          <w:tcPr>
            <w:tcW w:w="2336" w:type="dxa"/>
          </w:tcPr>
          <w:p w14:paraId="50402763" w14:textId="5E2C08BF" w:rsidR="006C13BB" w:rsidRPr="006C13BB" w:rsidRDefault="002957BA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Позбавлення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неможливе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37" w:type="dxa"/>
          </w:tcPr>
          <w:p w14:paraId="4833D868" w14:textId="566979D6" w:rsidR="006C13BB" w:rsidRPr="006C13BB" w:rsidRDefault="002957BA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Особа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може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бути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визнана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недієздатною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судом у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випадку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якщо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не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здатна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самостійно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розуміти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значення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своїх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дій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6C13BB" w:rsidRPr="006C13BB" w14:paraId="58616B22" w14:textId="77777777" w:rsidTr="00354764">
        <w:tc>
          <w:tcPr>
            <w:tcW w:w="9345" w:type="dxa"/>
            <w:gridSpan w:val="4"/>
          </w:tcPr>
          <w:p w14:paraId="4BFA321D" w14:textId="77777777" w:rsidR="006C13BB" w:rsidRPr="006C13BB" w:rsidRDefault="006C13BB" w:rsidP="006C13BB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6C13BB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lastRenderedPageBreak/>
              <w:t>Цивільна дієздатність та цивільна правоздатність юридичних осіб</w:t>
            </w:r>
          </w:p>
        </w:tc>
      </w:tr>
      <w:tr w:rsidR="006C13BB" w:rsidRPr="006C13BB" w14:paraId="49C114C4" w14:textId="77777777" w:rsidTr="00354764">
        <w:trPr>
          <w:trHeight w:val="69"/>
        </w:trPr>
        <w:tc>
          <w:tcPr>
            <w:tcW w:w="4672" w:type="dxa"/>
            <w:gridSpan w:val="2"/>
          </w:tcPr>
          <w:p w14:paraId="2C57E712" w14:textId="77777777" w:rsidR="006C13BB" w:rsidRPr="006C13BB" w:rsidRDefault="006C13BB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336" w:type="dxa"/>
          </w:tcPr>
          <w:p w14:paraId="434870B6" w14:textId="77777777" w:rsidR="006C13BB" w:rsidRPr="006C13BB" w:rsidRDefault="006C13BB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6C13B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Цивільна правоздатність</w:t>
            </w:r>
          </w:p>
        </w:tc>
        <w:tc>
          <w:tcPr>
            <w:tcW w:w="2337" w:type="dxa"/>
          </w:tcPr>
          <w:p w14:paraId="4D18C16B" w14:textId="77777777" w:rsidR="006C13BB" w:rsidRPr="006C13BB" w:rsidRDefault="006C13BB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6C13B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Цивільна дієздатність</w:t>
            </w:r>
          </w:p>
        </w:tc>
      </w:tr>
      <w:tr w:rsidR="006C13BB" w:rsidRPr="00174DD2" w14:paraId="5CC5C935" w14:textId="77777777" w:rsidTr="00354764">
        <w:trPr>
          <w:trHeight w:val="67"/>
        </w:trPr>
        <w:tc>
          <w:tcPr>
            <w:tcW w:w="2336" w:type="dxa"/>
          </w:tcPr>
          <w:p w14:paraId="0F467674" w14:textId="77777777" w:rsidR="006C13BB" w:rsidRPr="006C13BB" w:rsidRDefault="006C13BB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6C13B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1. Зміст поняття</w:t>
            </w:r>
          </w:p>
        </w:tc>
        <w:tc>
          <w:tcPr>
            <w:tcW w:w="2336" w:type="dxa"/>
          </w:tcPr>
          <w:p w14:paraId="1D3AEC0D" w14:textId="77777777" w:rsidR="006C13BB" w:rsidRPr="006C13BB" w:rsidRDefault="006C13BB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336" w:type="dxa"/>
          </w:tcPr>
          <w:p w14:paraId="787E7321" w14:textId="5EA625BB" w:rsidR="006C13BB" w:rsidRPr="006C13BB" w:rsidRDefault="002957BA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Здатність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мати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цивільні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права та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обов’язки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необхідні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для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діяльності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відповідно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до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цілей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створення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юридичної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особи.</w:t>
            </w:r>
          </w:p>
        </w:tc>
        <w:tc>
          <w:tcPr>
            <w:tcW w:w="2337" w:type="dxa"/>
          </w:tcPr>
          <w:p w14:paraId="2613B2F9" w14:textId="2AE92E46" w:rsidR="006C13BB" w:rsidRPr="002957BA" w:rsidRDefault="002957BA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2957BA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Здатність самостійно здійснювати цивільні права та обов’язки від свого імені.</w:t>
            </w:r>
          </w:p>
        </w:tc>
      </w:tr>
      <w:tr w:rsidR="006C13BB" w:rsidRPr="006C13BB" w14:paraId="44F2A136" w14:textId="77777777" w:rsidTr="00354764">
        <w:trPr>
          <w:trHeight w:val="367"/>
        </w:trPr>
        <w:tc>
          <w:tcPr>
            <w:tcW w:w="2336" w:type="dxa"/>
          </w:tcPr>
          <w:p w14:paraId="2AC4CC6C" w14:textId="77777777" w:rsidR="006C13BB" w:rsidRPr="006C13BB" w:rsidRDefault="006C13BB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6C13B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2. Виникнення</w:t>
            </w:r>
          </w:p>
        </w:tc>
        <w:tc>
          <w:tcPr>
            <w:tcW w:w="2336" w:type="dxa"/>
          </w:tcPr>
          <w:p w14:paraId="5AE320BA" w14:textId="77777777" w:rsidR="006C13BB" w:rsidRPr="006C13BB" w:rsidRDefault="006C13BB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336" w:type="dxa"/>
          </w:tcPr>
          <w:p w14:paraId="566B6313" w14:textId="48D97C3F" w:rsidR="006C13BB" w:rsidRPr="006C13BB" w:rsidRDefault="002957BA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Виникає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з моменту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державної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реєстрації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юридичної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особи.</w:t>
            </w:r>
          </w:p>
        </w:tc>
        <w:tc>
          <w:tcPr>
            <w:tcW w:w="2337" w:type="dxa"/>
          </w:tcPr>
          <w:p w14:paraId="70C4B221" w14:textId="049AB6B2" w:rsidR="006C13BB" w:rsidRPr="006C13BB" w:rsidRDefault="002957BA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Виникає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з моменту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державної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реєстрації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залежить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від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установчих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документів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юридичної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особи.</w:t>
            </w:r>
          </w:p>
        </w:tc>
      </w:tr>
      <w:tr w:rsidR="006C13BB" w:rsidRPr="006C13BB" w14:paraId="77009BC8" w14:textId="77777777" w:rsidTr="00354764">
        <w:trPr>
          <w:trHeight w:val="67"/>
        </w:trPr>
        <w:tc>
          <w:tcPr>
            <w:tcW w:w="2336" w:type="dxa"/>
          </w:tcPr>
          <w:p w14:paraId="2B1F6CF6" w14:textId="77777777" w:rsidR="006C13BB" w:rsidRPr="006C13BB" w:rsidRDefault="006C13BB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6C13B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3. Можливість обмеження</w:t>
            </w:r>
          </w:p>
        </w:tc>
        <w:tc>
          <w:tcPr>
            <w:tcW w:w="2336" w:type="dxa"/>
          </w:tcPr>
          <w:p w14:paraId="6FA3D2C2" w14:textId="77777777" w:rsidR="006C13BB" w:rsidRPr="006C13BB" w:rsidRDefault="006C13BB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336" w:type="dxa"/>
          </w:tcPr>
          <w:p w14:paraId="7AD961EC" w14:textId="470DBB29" w:rsidR="006C13BB" w:rsidRPr="006C13BB" w:rsidRDefault="002957BA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Може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бути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обмежена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законодавством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чи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статутом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юридичної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особи.</w:t>
            </w:r>
          </w:p>
        </w:tc>
        <w:tc>
          <w:tcPr>
            <w:tcW w:w="2337" w:type="dxa"/>
          </w:tcPr>
          <w:p w14:paraId="008E87E9" w14:textId="62B86803" w:rsidR="006C13BB" w:rsidRPr="006C13BB" w:rsidRDefault="002957BA" w:rsidP="006C13B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Може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бути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обмежена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статутними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документами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або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>рішенням</w:t>
            </w:r>
            <w:proofErr w:type="spellEnd"/>
            <w:r w:rsidRPr="002957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суду.</w:t>
            </w:r>
          </w:p>
        </w:tc>
      </w:tr>
    </w:tbl>
    <w:p w14:paraId="673EE095" w14:textId="24DF246F" w:rsidR="002957BA" w:rsidRPr="002957BA" w:rsidRDefault="007050FC" w:rsidP="002957BA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</w:pPr>
      <w:r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r w:rsidR="00CA5380" w:rsidRPr="00CA5380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Громадянка Н. щодня з 14.00 до 20.00 передавала свою 9-ти річну дитину під нагляд Громадянки М., яка гуляла з дитиною, готувала для неї, робила з дитиною уроки і т.д. За це Громадянка Н. сплачувала Громадянці М. кошти. Батько дитини про ці відносини не знав. Під час прогулянки з Громадянкою М., дитина розбила м’ячем вітрину магазина. </w:t>
      </w:r>
      <w:r w:rsidR="00CA5380" w:rsidRPr="00CC1AE1"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  <w:t xml:space="preserve">Хто буде </w:t>
      </w:r>
      <w:r w:rsidRPr="00CC1AE1"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  <w:t>відшкодовувати</w:t>
      </w:r>
      <w:r w:rsidR="00CA5380" w:rsidRPr="00CC1AE1"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  <w:t xml:space="preserve"> шкоду і на яких підставах відповідно до Цивільного кодексу України? </w:t>
      </w:r>
    </w:p>
    <w:p w14:paraId="5DE21C01" w14:textId="77777777" w:rsidR="002957BA" w:rsidRPr="00174DD2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0"/>
          <w:szCs w:val="20"/>
        </w:rPr>
      </w:pPr>
    </w:p>
    <w:p w14:paraId="1B70C0C7" w14:textId="77777777" w:rsidR="002957BA" w:rsidRPr="00174DD2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Згідно</w:t>
      </w:r>
      <w:proofErr w:type="spellEnd"/>
      <w:r w:rsidRPr="00174D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957BA">
        <w:rPr>
          <w:rFonts w:ascii="Times New Roman" w:eastAsia="Calibri" w:hAnsi="Times New Roman" w:cs="Times New Roman"/>
          <w:sz w:val="28"/>
          <w:szCs w:val="28"/>
        </w:rPr>
        <w:t>з</w:t>
      </w:r>
      <w:r w:rsidRPr="00174D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Цивільним</w:t>
      </w:r>
      <w:proofErr w:type="spellEnd"/>
      <w:r w:rsidRPr="00174D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957BA">
        <w:rPr>
          <w:rFonts w:ascii="Times New Roman" w:eastAsia="Calibri" w:hAnsi="Times New Roman" w:cs="Times New Roman"/>
          <w:sz w:val="28"/>
          <w:szCs w:val="28"/>
        </w:rPr>
        <w:t>кодексом</w:t>
      </w:r>
      <w:r w:rsidRPr="00174D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України</w:t>
      </w:r>
      <w:proofErr w:type="spellEnd"/>
      <w:r w:rsidRPr="00174DD2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2957BA">
        <w:rPr>
          <w:rFonts w:ascii="Times New Roman" w:eastAsia="Calibri" w:hAnsi="Times New Roman" w:cs="Times New Roman"/>
          <w:sz w:val="28"/>
          <w:szCs w:val="28"/>
        </w:rPr>
        <w:t>ЦКУ</w:t>
      </w:r>
      <w:r w:rsidRPr="00174DD2">
        <w:rPr>
          <w:rFonts w:ascii="Times New Roman" w:eastAsia="Calibri" w:hAnsi="Times New Roman" w:cs="Times New Roman"/>
          <w:sz w:val="28"/>
          <w:szCs w:val="28"/>
        </w:rPr>
        <w:t xml:space="preserve">),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відповідальність</w:t>
      </w:r>
      <w:proofErr w:type="spellEnd"/>
      <w:r w:rsidRPr="00174D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957BA">
        <w:rPr>
          <w:rFonts w:ascii="Times New Roman" w:eastAsia="Calibri" w:hAnsi="Times New Roman" w:cs="Times New Roman"/>
          <w:sz w:val="28"/>
          <w:szCs w:val="28"/>
        </w:rPr>
        <w:t>за</w:t>
      </w:r>
      <w:r w:rsidRPr="00174D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957BA">
        <w:rPr>
          <w:rFonts w:ascii="Times New Roman" w:eastAsia="Calibri" w:hAnsi="Times New Roman" w:cs="Times New Roman"/>
          <w:sz w:val="28"/>
          <w:szCs w:val="28"/>
        </w:rPr>
        <w:t>шкоду</w:t>
      </w:r>
      <w:r w:rsidRPr="00174DD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завдану</w:t>
      </w:r>
      <w:proofErr w:type="spellEnd"/>
      <w:r w:rsidRPr="00174D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малолітньою</w:t>
      </w:r>
      <w:proofErr w:type="spellEnd"/>
      <w:r w:rsidRPr="00174D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дитиною</w:t>
      </w:r>
      <w:proofErr w:type="spellEnd"/>
      <w:r w:rsidRPr="00174D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957BA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тобто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дитиною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, яка не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досягла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14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років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),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несуть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її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батьки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або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особи,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які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фактично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здійснюють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нагляд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за нею.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Розглянемо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детальніше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підстави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відповідальності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цій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ситуації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ECB43F" w14:textId="77777777" w:rsidR="002957BA" w:rsidRPr="00174DD2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A05CFF" w14:textId="2AA49A25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Правові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підстави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відшкодування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шкоди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61C8025" w14:textId="77777777" w:rsidR="002957BA" w:rsidRPr="002957BA" w:rsidRDefault="002957BA" w:rsidP="002957B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>Стаття</w:t>
      </w:r>
      <w:proofErr w:type="spellEnd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1178 ЦКУ</w:t>
      </w:r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Ця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стаття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передбачає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батьки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зобов'язані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відшкодувати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шкоду,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завдану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їхньою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малолітньою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дитиною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. Батьки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несуть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відповідальність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дії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дитини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незалежно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від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того,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чи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знали вони про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ці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дії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чи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контролювали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дитину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конкретний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момент.</w:t>
      </w:r>
    </w:p>
    <w:p w14:paraId="1E6CFFA8" w14:textId="77777777" w:rsidR="002957BA" w:rsidRPr="002957BA" w:rsidRDefault="002957BA" w:rsidP="002957B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>Стаття</w:t>
      </w:r>
      <w:proofErr w:type="spellEnd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1179 ЦКУ</w:t>
      </w:r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Ця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стаття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стосується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випадків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, коли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нагляд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дитиною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тимчасово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здійснює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інша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особа. У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випадку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якщо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на момент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завдання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шкоди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малолітня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дитина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перебувала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під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наглядом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іншої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особи,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ця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особа також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може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нести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відповідальність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завдану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дитині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шкоду,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якщо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не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доведе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вона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належно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виконувала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свої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обов'язки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нагляду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6989F4E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>Аналіз</w:t>
      </w:r>
      <w:proofErr w:type="spellEnd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>ситуації</w:t>
      </w:r>
      <w:proofErr w:type="spellEnd"/>
    </w:p>
    <w:p w14:paraId="382453EB" w14:textId="77777777" w:rsidR="002957BA" w:rsidRPr="002957BA" w:rsidRDefault="002957BA" w:rsidP="002957BA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>Громадянка</w:t>
      </w:r>
      <w:proofErr w:type="spellEnd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Н.</w:t>
      </w:r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передавала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дитину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під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нагляд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>Громадянки</w:t>
      </w:r>
      <w:proofErr w:type="spellEnd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М.</w:t>
      </w:r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на час з 14:00 до 20:00, і </w:t>
      </w:r>
      <w:proofErr w:type="spellStart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>Громадянка</w:t>
      </w:r>
      <w:proofErr w:type="spellEnd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М.</w:t>
      </w:r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фактично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виконувала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функції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наглядача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оскільки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доглядала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дитиною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займалася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з нею та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відповідала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її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безпеку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4B43D61" w14:textId="77777777" w:rsidR="002957BA" w:rsidRPr="002957BA" w:rsidRDefault="002957BA" w:rsidP="002957BA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Оскільки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дитина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завдала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шкоди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під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час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прогулянки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>Громадянкою</w:t>
      </w:r>
      <w:proofErr w:type="spellEnd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М.</w:t>
      </w:r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відповідальність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може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бути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покладена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Громадянку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М. як на особу,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наглядала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дитиною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в момент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завдання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шкоди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1A3985D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>Відшкодування</w:t>
      </w:r>
      <w:proofErr w:type="spellEnd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>шкоди</w:t>
      </w:r>
      <w:proofErr w:type="spellEnd"/>
    </w:p>
    <w:p w14:paraId="2C1917BB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Отже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відповідно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до статей 1178 та 1179 ЦКУ:</w:t>
      </w:r>
    </w:p>
    <w:p w14:paraId="59B022CB" w14:textId="77777777" w:rsidR="002957BA" w:rsidRPr="002957BA" w:rsidRDefault="002957BA" w:rsidP="002957B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>Громадянка</w:t>
      </w:r>
      <w:proofErr w:type="spellEnd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М.</w:t>
      </w:r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зобов'язана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відшкодувати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завдану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шкоду,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якщо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не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доведе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в момент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завдання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шкоди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вона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належно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здійснювала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нагляд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дитиною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533B8FC" w14:textId="77777777" w:rsidR="002957BA" w:rsidRPr="002957BA" w:rsidRDefault="002957BA" w:rsidP="002957B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Батьки </w:t>
      </w:r>
      <w:proofErr w:type="spellStart"/>
      <w:r w:rsidRPr="002957BA">
        <w:rPr>
          <w:rFonts w:ascii="Times New Roman" w:eastAsia="Calibri" w:hAnsi="Times New Roman" w:cs="Times New Roman"/>
          <w:b/>
          <w:bCs/>
          <w:sz w:val="28"/>
          <w:szCs w:val="28"/>
        </w:rPr>
        <w:t>дитини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зокрема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мати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, яка знала про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нагляд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Громадянки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М.)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можуть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нести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субсидіарну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відповідальність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якщо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буде доведено,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Громадянка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М. не могла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належно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контролювати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дії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sz w:val="28"/>
          <w:szCs w:val="28"/>
        </w:rPr>
        <w:t>дитини</w:t>
      </w:r>
      <w:proofErr w:type="spellEnd"/>
      <w:r w:rsidRPr="002957B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685D29D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0"/>
          <w:szCs w:val="20"/>
        </w:rPr>
      </w:pPr>
    </w:p>
    <w:p w14:paraId="570621F1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0"/>
          <w:szCs w:val="20"/>
        </w:rPr>
      </w:pPr>
    </w:p>
    <w:p w14:paraId="3C1816D8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</w:pPr>
    </w:p>
    <w:p w14:paraId="5E60A437" w14:textId="77777777" w:rsidR="00CA5380" w:rsidRPr="00CC1AE1" w:rsidRDefault="00BA57CC" w:rsidP="007050FC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</w:pPr>
      <w:r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r w:rsidR="007050FC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r w:rsidR="00CA5380" w:rsidRPr="007050FC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Два з половиною роки тому Оксана </w:t>
      </w:r>
      <w:proofErr w:type="spellStart"/>
      <w:r w:rsidR="00CA5380" w:rsidRPr="007050FC">
        <w:rPr>
          <w:rFonts w:ascii="Times New Roman" w:eastAsia="Calibri" w:hAnsi="Times New Roman" w:cs="Times New Roman"/>
          <w:sz w:val="20"/>
          <w:szCs w:val="20"/>
          <w:lang w:val="uk-UA"/>
        </w:rPr>
        <w:t>Репетовська</w:t>
      </w:r>
      <w:proofErr w:type="spellEnd"/>
      <w:r w:rsidR="00CA5380" w:rsidRPr="007050FC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позичила своїм далеким родичам велику суму грошей на будівництво будинку. Відповідно до умов договору позички вже 5 місяців як родичі мали повернути </w:t>
      </w:r>
      <w:r w:rsidR="007050FC" w:rsidRPr="007050FC">
        <w:rPr>
          <w:rFonts w:ascii="Times New Roman" w:eastAsia="Calibri" w:hAnsi="Times New Roman" w:cs="Times New Roman"/>
          <w:sz w:val="20"/>
          <w:szCs w:val="20"/>
          <w:lang w:val="uk-UA"/>
        </w:rPr>
        <w:t xml:space="preserve"> </w:t>
      </w:r>
      <w:r w:rsidR="00CA5380" w:rsidRPr="007050FC">
        <w:rPr>
          <w:rFonts w:ascii="Times New Roman" w:eastAsia="Calibri" w:hAnsi="Times New Roman" w:cs="Times New Roman"/>
          <w:sz w:val="20"/>
          <w:szCs w:val="20"/>
          <w:lang w:val="uk-UA"/>
        </w:rPr>
        <w:t>гроші. Свої зобов'язання вони не виконали і позичені гроші ще не повернули.</w:t>
      </w:r>
      <w:r w:rsidR="00CA5380" w:rsidRPr="007050FC">
        <w:rPr>
          <w:rFonts w:ascii="Times New Roman" w:eastAsia="Calibri" w:hAnsi="Times New Roman" w:cs="Times New Roman"/>
          <w:sz w:val="20"/>
          <w:szCs w:val="20"/>
          <w:lang w:val="uk-UA"/>
        </w:rPr>
        <w:cr/>
      </w:r>
      <w:r w:rsidR="007050FC" w:rsidRPr="00CC1AE1"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  <w:t xml:space="preserve">Чи має право </w:t>
      </w:r>
      <w:proofErr w:type="spellStart"/>
      <w:r w:rsidR="007050FC" w:rsidRPr="00CC1AE1"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  <w:t>Репетовська</w:t>
      </w:r>
      <w:proofErr w:type="spellEnd"/>
      <w:r w:rsidR="007050FC" w:rsidRPr="00CC1AE1"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  <w:t xml:space="preserve"> вимагати повернення своїх грошей?</w:t>
      </w:r>
      <w:r w:rsidR="007050FC" w:rsidRPr="00CC1AE1"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  <w:cr/>
        <w:t>Куди вона може звернутись і яким чином?</w:t>
      </w:r>
      <w:r w:rsidR="007050FC" w:rsidRPr="00CC1AE1"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  <w:cr/>
        <w:t xml:space="preserve">Чи може </w:t>
      </w:r>
      <w:proofErr w:type="spellStart"/>
      <w:r w:rsidR="007050FC" w:rsidRPr="00CC1AE1"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  <w:t>Репетовська</w:t>
      </w:r>
      <w:proofErr w:type="spellEnd"/>
      <w:r w:rsidR="007050FC" w:rsidRPr="00CC1AE1">
        <w:rPr>
          <w:rFonts w:ascii="Times New Roman" w:eastAsia="Calibri" w:hAnsi="Times New Roman" w:cs="Times New Roman"/>
          <w:i/>
          <w:iCs/>
          <w:sz w:val="20"/>
          <w:szCs w:val="20"/>
          <w:lang w:val="uk-UA"/>
        </w:rPr>
        <w:t xml:space="preserve"> висувати вимоги до своїх родичів у невизначений часовий проміжок?</w:t>
      </w:r>
    </w:p>
    <w:p w14:paraId="3C88A946" w14:textId="77777777" w:rsidR="005D124B" w:rsidRPr="00174DD2" w:rsidRDefault="005D124B" w:rsidP="007050FC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4EC18E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Оксана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Репетовська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має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право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вимагати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повернення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своїх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грошей,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оскільки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родичі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виконали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свої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зобов'язання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договором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позики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Розглянемо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це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питання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детальніше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Цивільного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кодексу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України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B644072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1. Право на </w:t>
      </w:r>
      <w:proofErr w:type="spellStart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вимогу</w:t>
      </w:r>
      <w:proofErr w:type="spellEnd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повернення</w:t>
      </w:r>
      <w:proofErr w:type="spellEnd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боргу</w:t>
      </w:r>
    </w:p>
    <w:p w14:paraId="000949C8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Згідно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статтею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1046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Цивільного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кодексу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України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(ЦКУ),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договір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позики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вважається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укладеним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 моменту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передачі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грошей. Також,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статті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1049 ЦКУ,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позичальник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зобов'язаний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повернути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позику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 строк</w:t>
      </w:r>
      <w:proofErr w:type="gram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визначений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договорі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F603493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Оскільки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договір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передбачав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конкретний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строк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повернення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який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уже минув на 5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місяців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), Оксана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має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право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вимагати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повернення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боргу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від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своїх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родичів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8CDF114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2. Порядок </w:t>
      </w:r>
      <w:proofErr w:type="spellStart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дій</w:t>
      </w:r>
      <w:proofErr w:type="spellEnd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для </w:t>
      </w:r>
      <w:proofErr w:type="spellStart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стягнення</w:t>
      </w:r>
      <w:proofErr w:type="spellEnd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боргу</w:t>
      </w:r>
    </w:p>
    <w:p w14:paraId="7FA64F53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Оксана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Репетовська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може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звернутися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до суду</w:t>
      </w:r>
      <w:proofErr w:type="gram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примусового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стягнення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заборгованості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Для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цього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їй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потрібно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2A3E12CC" w14:textId="77777777" w:rsidR="002957BA" w:rsidRPr="002957BA" w:rsidRDefault="002957BA" w:rsidP="002957BA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Підготувати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письмову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претензію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родичів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вимогою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повернути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борг у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певний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строк (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це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допоможе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надалі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суді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підтвердити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її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намагання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мирно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вирішити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спір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).</w:t>
      </w:r>
    </w:p>
    <w:p w14:paraId="2A63E877" w14:textId="77777777" w:rsidR="002957BA" w:rsidRPr="002957BA" w:rsidRDefault="002957BA" w:rsidP="002957BA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Звернутися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позовною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заявою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місцевого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суду за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місцем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проживання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боржників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або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місцем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виконання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договору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позики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55D9D43A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Позовна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заява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має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містити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20AF9B5A" w14:textId="77777777" w:rsidR="002957BA" w:rsidRPr="002957BA" w:rsidRDefault="002957BA" w:rsidP="002957BA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Вимогу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стягнення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суми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боргу.</w:t>
      </w:r>
    </w:p>
    <w:p w14:paraId="0BE77CDA" w14:textId="77777777" w:rsidR="002957BA" w:rsidRPr="002957BA" w:rsidRDefault="002957BA" w:rsidP="002957BA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Докази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укладення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договору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позики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наприклад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письмовий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договір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розписка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або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інші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документи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які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підтверджують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факт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передачі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грошей).</w:t>
      </w:r>
    </w:p>
    <w:p w14:paraId="4AAD70AA" w14:textId="77777777" w:rsidR="002957BA" w:rsidRPr="002957BA" w:rsidRDefault="002957BA" w:rsidP="002957BA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Розрахунок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заборгованості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включаючи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суму основного боргу та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можливі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нарахування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наприклад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проценти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користування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позикою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якщо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такі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були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передбачені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).</w:t>
      </w:r>
    </w:p>
    <w:p w14:paraId="7AC80FCF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spellStart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Термін</w:t>
      </w:r>
      <w:proofErr w:type="spellEnd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позовної</w:t>
      </w:r>
      <w:proofErr w:type="spellEnd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давності</w:t>
      </w:r>
      <w:proofErr w:type="spellEnd"/>
    </w:p>
    <w:p w14:paraId="6813612C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статтею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257 ЦКУ,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загальний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строк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позовної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давності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становить 3 роки з моменту, коли кредитор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дізнався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або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міг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дізнатися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порушення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свого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права (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тобто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даному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випадку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з моменту, коли строк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повернення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позики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закінчився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).</w:t>
      </w:r>
    </w:p>
    <w:p w14:paraId="4A83C141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Оксана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Репетовська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має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ще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 роки для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звернення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до суду</w:t>
      </w:r>
      <w:proofErr w:type="gram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вимогою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повернути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борг.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Після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закінчення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цього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строку суд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може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відмовити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задоволенні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позову,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якщо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боржники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заявлять про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сплив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строку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позовної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давності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Отже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Оксані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варто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подати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позов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у межах</w:t>
      </w:r>
      <w:proofErr w:type="gram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цього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трирічного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строку.</w:t>
      </w:r>
    </w:p>
    <w:p w14:paraId="3B99C683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 xml:space="preserve">4. </w:t>
      </w:r>
      <w:proofErr w:type="spellStart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Чи</w:t>
      </w:r>
      <w:proofErr w:type="spellEnd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може</w:t>
      </w:r>
      <w:proofErr w:type="spellEnd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висувати</w:t>
      </w:r>
      <w:proofErr w:type="spellEnd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вимоги</w:t>
      </w:r>
      <w:proofErr w:type="spellEnd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у </w:t>
      </w:r>
      <w:proofErr w:type="spellStart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невизначений</w:t>
      </w:r>
      <w:proofErr w:type="spellEnd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проміжок</w:t>
      </w:r>
      <w:proofErr w:type="spellEnd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часу?</w:t>
      </w:r>
    </w:p>
    <w:p w14:paraId="156158A6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Оксана не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може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висувати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вимоги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повернення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боргу у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невизначений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проміжок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часу,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оскільки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її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право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обмежене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строком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позовної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давності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Через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це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їй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потрібно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діяти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вчасно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поки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минуло 3 роки з моменту, коли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родичі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мали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повернути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гроші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52928F9A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957B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Висновок</w:t>
      </w:r>
      <w:proofErr w:type="spellEnd"/>
    </w:p>
    <w:p w14:paraId="5B9BE2BB" w14:textId="77777777" w:rsidR="002957BA" w:rsidRPr="002957BA" w:rsidRDefault="002957BA" w:rsidP="002957BA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Оксана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Репетовська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має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право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вимагати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повернення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своїх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грошей і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може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звернутися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до суду</w:t>
      </w:r>
      <w:proofErr w:type="gram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позовною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заявою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стягнення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боргу.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Їй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слід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діяти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межах строку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позовної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давності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(3 роки) для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захисту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>своїх</w:t>
      </w:r>
      <w:proofErr w:type="spellEnd"/>
      <w:r w:rsidRPr="002957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прав.</w:t>
      </w:r>
    </w:p>
    <w:p w14:paraId="3A245BDC" w14:textId="77777777" w:rsidR="002957BA" w:rsidRPr="002957BA" w:rsidRDefault="002957BA" w:rsidP="007050FC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F7115E" w14:textId="77777777" w:rsidR="002957BA" w:rsidRPr="002957BA" w:rsidRDefault="002957BA" w:rsidP="007050FC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B2A5CA9" w14:textId="77777777" w:rsidR="002957BA" w:rsidRPr="002957BA" w:rsidRDefault="002957BA" w:rsidP="007050FC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AED7899" w14:textId="2331AC58" w:rsidR="00FB5067" w:rsidRPr="00FB5067" w:rsidRDefault="00FB5067" w:rsidP="00FB5067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0"/>
          <w:szCs w:val="20"/>
          <w:lang w:val="uk-UA"/>
        </w:rPr>
      </w:pPr>
    </w:p>
    <w:sectPr w:rsidR="00FB5067" w:rsidRPr="00FB5067" w:rsidSect="00940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A16E3" w14:textId="77777777" w:rsidR="008D4327" w:rsidRDefault="008D4327" w:rsidP="000B2E54">
      <w:pPr>
        <w:spacing w:after="0" w:line="240" w:lineRule="auto"/>
      </w:pPr>
      <w:r>
        <w:separator/>
      </w:r>
    </w:p>
  </w:endnote>
  <w:endnote w:type="continuationSeparator" w:id="0">
    <w:p w14:paraId="5CC6A3DD" w14:textId="77777777" w:rsidR="008D4327" w:rsidRDefault="008D4327" w:rsidP="000B2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46905" w14:textId="77777777" w:rsidR="008D4327" w:rsidRDefault="008D4327" w:rsidP="000B2E54">
      <w:pPr>
        <w:spacing w:after="0" w:line="240" w:lineRule="auto"/>
      </w:pPr>
      <w:r>
        <w:separator/>
      </w:r>
    </w:p>
  </w:footnote>
  <w:footnote w:type="continuationSeparator" w:id="0">
    <w:p w14:paraId="7B816115" w14:textId="77777777" w:rsidR="008D4327" w:rsidRDefault="008D4327" w:rsidP="000B2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B0DF3"/>
    <w:multiLevelType w:val="multilevel"/>
    <w:tmpl w:val="AEBA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5557"/>
    <w:multiLevelType w:val="hybridMultilevel"/>
    <w:tmpl w:val="CE8EA2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A17EAA"/>
    <w:multiLevelType w:val="multilevel"/>
    <w:tmpl w:val="411A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E6AB6"/>
    <w:multiLevelType w:val="hybridMultilevel"/>
    <w:tmpl w:val="FFFFFFFF"/>
    <w:lvl w:ilvl="0" w:tplc="48544D5A">
      <w:start w:val="3"/>
      <w:numFmt w:val="decimal"/>
      <w:lvlText w:val="%1."/>
      <w:lvlJc w:val="left"/>
      <w:pPr>
        <w:ind w:left="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80C5FC">
      <w:start w:val="1"/>
      <w:numFmt w:val="lowerLetter"/>
      <w:lvlText w:val="%2"/>
      <w:lvlJc w:val="left"/>
      <w:pPr>
        <w:ind w:left="17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98234A">
      <w:start w:val="1"/>
      <w:numFmt w:val="lowerRoman"/>
      <w:lvlText w:val="%3"/>
      <w:lvlJc w:val="left"/>
      <w:pPr>
        <w:ind w:left="24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1AB32A">
      <w:start w:val="1"/>
      <w:numFmt w:val="decimal"/>
      <w:lvlText w:val="%4"/>
      <w:lvlJc w:val="left"/>
      <w:pPr>
        <w:ind w:left="31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7608E6">
      <w:start w:val="1"/>
      <w:numFmt w:val="lowerLetter"/>
      <w:lvlText w:val="%5"/>
      <w:lvlJc w:val="left"/>
      <w:pPr>
        <w:ind w:left="38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7EBF12">
      <w:start w:val="1"/>
      <w:numFmt w:val="lowerRoman"/>
      <w:lvlText w:val="%6"/>
      <w:lvlJc w:val="left"/>
      <w:pPr>
        <w:ind w:left="45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FA324C">
      <w:start w:val="1"/>
      <w:numFmt w:val="decimal"/>
      <w:lvlText w:val="%7"/>
      <w:lvlJc w:val="left"/>
      <w:pPr>
        <w:ind w:left="53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A655BA">
      <w:start w:val="1"/>
      <w:numFmt w:val="lowerLetter"/>
      <w:lvlText w:val="%8"/>
      <w:lvlJc w:val="left"/>
      <w:pPr>
        <w:ind w:left="60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C29716">
      <w:start w:val="1"/>
      <w:numFmt w:val="lowerRoman"/>
      <w:lvlText w:val="%9"/>
      <w:lvlJc w:val="left"/>
      <w:pPr>
        <w:ind w:left="67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8967C9"/>
    <w:multiLevelType w:val="hybridMultilevel"/>
    <w:tmpl w:val="8CBC78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F51EB"/>
    <w:multiLevelType w:val="multilevel"/>
    <w:tmpl w:val="D27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674A6"/>
    <w:multiLevelType w:val="hybridMultilevel"/>
    <w:tmpl w:val="75CA4F38"/>
    <w:lvl w:ilvl="0" w:tplc="0F2C4D6C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 w15:restartNumberingAfterBreak="0">
    <w:nsid w:val="3E076255"/>
    <w:multiLevelType w:val="hybridMultilevel"/>
    <w:tmpl w:val="2214D19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CD0B09"/>
    <w:multiLevelType w:val="multilevel"/>
    <w:tmpl w:val="25F0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D7642"/>
    <w:multiLevelType w:val="multilevel"/>
    <w:tmpl w:val="11A2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9E569E"/>
    <w:multiLevelType w:val="hybridMultilevel"/>
    <w:tmpl w:val="8C52AF8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0E5E41"/>
    <w:multiLevelType w:val="hybridMultilevel"/>
    <w:tmpl w:val="E87674A4"/>
    <w:lvl w:ilvl="0" w:tplc="45E259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94F68"/>
    <w:multiLevelType w:val="hybridMultilevel"/>
    <w:tmpl w:val="14E84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0E45D4"/>
    <w:multiLevelType w:val="multilevel"/>
    <w:tmpl w:val="324625F0"/>
    <w:lvl w:ilvl="0">
      <w:start w:val="1"/>
      <w:numFmt w:val="bullet"/>
      <w:lvlText w:val="●"/>
      <w:lvlJc w:val="left"/>
      <w:pPr>
        <w:ind w:left="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A462E20"/>
    <w:multiLevelType w:val="hybridMultilevel"/>
    <w:tmpl w:val="FFFFFFFF"/>
    <w:lvl w:ilvl="0" w:tplc="6BD68054">
      <w:start w:val="1"/>
      <w:numFmt w:val="decimal"/>
      <w:lvlText w:val="%1."/>
      <w:lvlJc w:val="left"/>
      <w:pPr>
        <w:ind w:left="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3C489C">
      <w:start w:val="1"/>
      <w:numFmt w:val="decimal"/>
      <w:lvlText w:val="%2."/>
      <w:lvlJc w:val="left"/>
      <w:pPr>
        <w:ind w:left="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CF66E">
      <w:start w:val="1"/>
      <w:numFmt w:val="lowerRoman"/>
      <w:lvlText w:val="%3"/>
      <w:lvlJc w:val="left"/>
      <w:pPr>
        <w:ind w:left="17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DA1E60">
      <w:start w:val="1"/>
      <w:numFmt w:val="decimal"/>
      <w:lvlText w:val="%4"/>
      <w:lvlJc w:val="left"/>
      <w:pPr>
        <w:ind w:left="25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2820CE">
      <w:start w:val="1"/>
      <w:numFmt w:val="lowerLetter"/>
      <w:lvlText w:val="%5"/>
      <w:lvlJc w:val="left"/>
      <w:pPr>
        <w:ind w:left="32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BAD2DC">
      <w:start w:val="1"/>
      <w:numFmt w:val="lowerRoman"/>
      <w:lvlText w:val="%6"/>
      <w:lvlJc w:val="left"/>
      <w:pPr>
        <w:ind w:left="39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5A9F3C">
      <w:start w:val="1"/>
      <w:numFmt w:val="decimal"/>
      <w:lvlText w:val="%7"/>
      <w:lvlJc w:val="left"/>
      <w:pPr>
        <w:ind w:left="46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8CA9E6">
      <w:start w:val="1"/>
      <w:numFmt w:val="lowerLetter"/>
      <w:lvlText w:val="%8"/>
      <w:lvlJc w:val="left"/>
      <w:pPr>
        <w:ind w:left="53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DA1A4C">
      <w:start w:val="1"/>
      <w:numFmt w:val="lowerRoman"/>
      <w:lvlText w:val="%9"/>
      <w:lvlJc w:val="left"/>
      <w:pPr>
        <w:ind w:left="61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248311">
    <w:abstractNumId w:val="1"/>
  </w:num>
  <w:num w:numId="2" w16cid:durableId="909577380">
    <w:abstractNumId w:val="13"/>
  </w:num>
  <w:num w:numId="3" w16cid:durableId="863322346">
    <w:abstractNumId w:val="14"/>
  </w:num>
  <w:num w:numId="4" w16cid:durableId="708337510">
    <w:abstractNumId w:val="3"/>
  </w:num>
  <w:num w:numId="5" w16cid:durableId="1873960842">
    <w:abstractNumId w:val="6"/>
  </w:num>
  <w:num w:numId="6" w16cid:durableId="1277520254">
    <w:abstractNumId w:val="10"/>
  </w:num>
  <w:num w:numId="7" w16cid:durableId="398939266">
    <w:abstractNumId w:val="7"/>
  </w:num>
  <w:num w:numId="8" w16cid:durableId="1254362621">
    <w:abstractNumId w:val="12"/>
  </w:num>
  <w:num w:numId="9" w16cid:durableId="1930188727">
    <w:abstractNumId w:val="4"/>
  </w:num>
  <w:num w:numId="10" w16cid:durableId="832065048">
    <w:abstractNumId w:val="11"/>
  </w:num>
  <w:num w:numId="11" w16cid:durableId="1937667565">
    <w:abstractNumId w:val="9"/>
  </w:num>
  <w:num w:numId="12" w16cid:durableId="1095592843">
    <w:abstractNumId w:val="8"/>
  </w:num>
  <w:num w:numId="13" w16cid:durableId="1832059056">
    <w:abstractNumId w:val="0"/>
  </w:num>
  <w:num w:numId="14" w16cid:durableId="1073164718">
    <w:abstractNumId w:val="5"/>
  </w:num>
  <w:num w:numId="15" w16cid:durableId="430012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54"/>
    <w:rsid w:val="000001AA"/>
    <w:rsid w:val="00001241"/>
    <w:rsid w:val="00002642"/>
    <w:rsid w:val="00007DC8"/>
    <w:rsid w:val="00010A18"/>
    <w:rsid w:val="00026E0E"/>
    <w:rsid w:val="00063BB0"/>
    <w:rsid w:val="00066639"/>
    <w:rsid w:val="00073403"/>
    <w:rsid w:val="00075BEE"/>
    <w:rsid w:val="00091EF9"/>
    <w:rsid w:val="000B2E54"/>
    <w:rsid w:val="000F0AAE"/>
    <w:rsid w:val="000F1FDE"/>
    <w:rsid w:val="00132ED0"/>
    <w:rsid w:val="0013599D"/>
    <w:rsid w:val="001450B7"/>
    <w:rsid w:val="00170B40"/>
    <w:rsid w:val="00174DD2"/>
    <w:rsid w:val="00177122"/>
    <w:rsid w:val="00181552"/>
    <w:rsid w:val="00191898"/>
    <w:rsid w:val="00204E52"/>
    <w:rsid w:val="00207DE0"/>
    <w:rsid w:val="002226E7"/>
    <w:rsid w:val="00222B70"/>
    <w:rsid w:val="00223A1E"/>
    <w:rsid w:val="00225B99"/>
    <w:rsid w:val="002368C4"/>
    <w:rsid w:val="00243987"/>
    <w:rsid w:val="002531C2"/>
    <w:rsid w:val="002747E5"/>
    <w:rsid w:val="002957BA"/>
    <w:rsid w:val="002C3509"/>
    <w:rsid w:val="002C5E67"/>
    <w:rsid w:val="002D1203"/>
    <w:rsid w:val="002F29A7"/>
    <w:rsid w:val="00312054"/>
    <w:rsid w:val="003120FF"/>
    <w:rsid w:val="00320DD4"/>
    <w:rsid w:val="00331C49"/>
    <w:rsid w:val="00332677"/>
    <w:rsid w:val="00351D8F"/>
    <w:rsid w:val="00367778"/>
    <w:rsid w:val="00372124"/>
    <w:rsid w:val="003823D0"/>
    <w:rsid w:val="003A3272"/>
    <w:rsid w:val="003B075B"/>
    <w:rsid w:val="003C0F33"/>
    <w:rsid w:val="003C7271"/>
    <w:rsid w:val="003D2A04"/>
    <w:rsid w:val="003F0979"/>
    <w:rsid w:val="00405904"/>
    <w:rsid w:val="0042225F"/>
    <w:rsid w:val="00426A67"/>
    <w:rsid w:val="00440DC6"/>
    <w:rsid w:val="004448B8"/>
    <w:rsid w:val="00444DCA"/>
    <w:rsid w:val="00471818"/>
    <w:rsid w:val="004771BE"/>
    <w:rsid w:val="00484749"/>
    <w:rsid w:val="00496D23"/>
    <w:rsid w:val="004C1F2D"/>
    <w:rsid w:val="005005C4"/>
    <w:rsid w:val="00506829"/>
    <w:rsid w:val="0058495E"/>
    <w:rsid w:val="00587929"/>
    <w:rsid w:val="005A54D9"/>
    <w:rsid w:val="005B73D6"/>
    <w:rsid w:val="005D124B"/>
    <w:rsid w:val="005D2185"/>
    <w:rsid w:val="005E29D9"/>
    <w:rsid w:val="00607C7A"/>
    <w:rsid w:val="00617D6E"/>
    <w:rsid w:val="006238B5"/>
    <w:rsid w:val="0062705D"/>
    <w:rsid w:val="006277D2"/>
    <w:rsid w:val="00646592"/>
    <w:rsid w:val="006660D7"/>
    <w:rsid w:val="00667B99"/>
    <w:rsid w:val="00670116"/>
    <w:rsid w:val="0068505F"/>
    <w:rsid w:val="00693746"/>
    <w:rsid w:val="006B7972"/>
    <w:rsid w:val="006C13BB"/>
    <w:rsid w:val="006E5BAA"/>
    <w:rsid w:val="007050FC"/>
    <w:rsid w:val="00712043"/>
    <w:rsid w:val="007165D4"/>
    <w:rsid w:val="007352A8"/>
    <w:rsid w:val="007462EC"/>
    <w:rsid w:val="00756A63"/>
    <w:rsid w:val="007F04A0"/>
    <w:rsid w:val="007F7CE7"/>
    <w:rsid w:val="00824287"/>
    <w:rsid w:val="00830940"/>
    <w:rsid w:val="008566DF"/>
    <w:rsid w:val="00880523"/>
    <w:rsid w:val="008A12A8"/>
    <w:rsid w:val="008A77BF"/>
    <w:rsid w:val="008C16F6"/>
    <w:rsid w:val="008C483C"/>
    <w:rsid w:val="008D4327"/>
    <w:rsid w:val="008E45C4"/>
    <w:rsid w:val="00902B9E"/>
    <w:rsid w:val="00905964"/>
    <w:rsid w:val="00931EC0"/>
    <w:rsid w:val="00940395"/>
    <w:rsid w:val="009406F9"/>
    <w:rsid w:val="0094334A"/>
    <w:rsid w:val="00945871"/>
    <w:rsid w:val="00967F7A"/>
    <w:rsid w:val="00975E3A"/>
    <w:rsid w:val="009936A9"/>
    <w:rsid w:val="009A147E"/>
    <w:rsid w:val="009A66CC"/>
    <w:rsid w:val="009D4E9B"/>
    <w:rsid w:val="00A05DD0"/>
    <w:rsid w:val="00A3136F"/>
    <w:rsid w:val="00A6713E"/>
    <w:rsid w:val="00A856D4"/>
    <w:rsid w:val="00AE2BCB"/>
    <w:rsid w:val="00B23D79"/>
    <w:rsid w:val="00B314D5"/>
    <w:rsid w:val="00B45BB0"/>
    <w:rsid w:val="00B51353"/>
    <w:rsid w:val="00B56E2E"/>
    <w:rsid w:val="00B703DF"/>
    <w:rsid w:val="00B91672"/>
    <w:rsid w:val="00BA1D29"/>
    <w:rsid w:val="00BA33DA"/>
    <w:rsid w:val="00BA57CC"/>
    <w:rsid w:val="00BD3AC8"/>
    <w:rsid w:val="00BE21E1"/>
    <w:rsid w:val="00BE748D"/>
    <w:rsid w:val="00BF3034"/>
    <w:rsid w:val="00BF7D78"/>
    <w:rsid w:val="00C17FF6"/>
    <w:rsid w:val="00C723AB"/>
    <w:rsid w:val="00C87C7C"/>
    <w:rsid w:val="00CA5380"/>
    <w:rsid w:val="00CC1AE1"/>
    <w:rsid w:val="00CD0752"/>
    <w:rsid w:val="00CE5FA9"/>
    <w:rsid w:val="00D807ED"/>
    <w:rsid w:val="00D87CE7"/>
    <w:rsid w:val="00D91B38"/>
    <w:rsid w:val="00D92B93"/>
    <w:rsid w:val="00D9779A"/>
    <w:rsid w:val="00DB323A"/>
    <w:rsid w:val="00DB3FAE"/>
    <w:rsid w:val="00DC2CC8"/>
    <w:rsid w:val="00DD0F0D"/>
    <w:rsid w:val="00DD21C8"/>
    <w:rsid w:val="00DD2D20"/>
    <w:rsid w:val="00DF085A"/>
    <w:rsid w:val="00DF3869"/>
    <w:rsid w:val="00E16F52"/>
    <w:rsid w:val="00E32BD9"/>
    <w:rsid w:val="00E42533"/>
    <w:rsid w:val="00E50868"/>
    <w:rsid w:val="00E6168B"/>
    <w:rsid w:val="00E94B16"/>
    <w:rsid w:val="00E94B75"/>
    <w:rsid w:val="00EA760E"/>
    <w:rsid w:val="00EC2FBF"/>
    <w:rsid w:val="00EC7715"/>
    <w:rsid w:val="00ED525B"/>
    <w:rsid w:val="00EE03F0"/>
    <w:rsid w:val="00EF4542"/>
    <w:rsid w:val="00F2681E"/>
    <w:rsid w:val="00F474B2"/>
    <w:rsid w:val="00F50C40"/>
    <w:rsid w:val="00F523F4"/>
    <w:rsid w:val="00F56791"/>
    <w:rsid w:val="00F73D76"/>
    <w:rsid w:val="00F95D41"/>
    <w:rsid w:val="00FA1F5A"/>
    <w:rsid w:val="00FB5067"/>
    <w:rsid w:val="00FC0C27"/>
    <w:rsid w:val="00F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EEC8"/>
  <w15:docId w15:val="{F7AF465B-4DBD-49FD-955D-75F015A9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395"/>
  </w:style>
  <w:style w:type="paragraph" w:styleId="2">
    <w:name w:val="heading 2"/>
    <w:basedOn w:val="a"/>
    <w:next w:val="a"/>
    <w:link w:val="20"/>
    <w:uiPriority w:val="9"/>
    <w:unhideWhenUsed/>
    <w:qFormat/>
    <w:rsid w:val="00A85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5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A1F5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B2E5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B2E5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B2E54"/>
    <w:rPr>
      <w:vertAlign w:val="superscript"/>
    </w:rPr>
  </w:style>
  <w:style w:type="table" w:customStyle="1" w:styleId="TableGrid">
    <w:name w:val="TableGrid"/>
    <w:rsid w:val="008C16F6"/>
    <w:pPr>
      <w:spacing w:after="0" w:line="240" w:lineRule="auto"/>
    </w:pPr>
    <w:rPr>
      <w:rFonts w:eastAsia="Times New Roman"/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F1FDE"/>
    <w:pPr>
      <w:spacing w:after="0" w:line="240" w:lineRule="auto"/>
    </w:pPr>
    <w:rPr>
      <w:rFonts w:eastAsia="Times New Roman"/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EC2FBF"/>
    <w:pPr>
      <w:spacing w:after="0" w:line="240" w:lineRule="auto"/>
    </w:pPr>
    <w:rPr>
      <w:rFonts w:eastAsia="Times New Roman"/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F56791"/>
    <w:pPr>
      <w:spacing w:after="0" w:line="240" w:lineRule="auto"/>
    </w:pPr>
    <w:rPr>
      <w:rFonts w:eastAsia="Times New Roman"/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F56791"/>
    <w:pPr>
      <w:spacing w:after="0" w:line="240" w:lineRule="auto"/>
    </w:pPr>
    <w:rPr>
      <w:rFonts w:eastAsia="Times New Roman"/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F56791"/>
    <w:pPr>
      <w:spacing w:after="0" w:line="240" w:lineRule="auto"/>
    </w:pPr>
    <w:rPr>
      <w:rFonts w:eastAsia="Times New Roman"/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7165D4"/>
    <w:pPr>
      <w:spacing w:after="0" w:line="240" w:lineRule="auto"/>
    </w:pPr>
    <w:rPr>
      <w:rFonts w:eastAsia="Times New Roman"/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vps2">
    <w:name w:val="rvps2"/>
    <w:basedOn w:val="a"/>
    <w:rsid w:val="00902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46">
    <w:name w:val="rvts46"/>
    <w:basedOn w:val="a0"/>
    <w:rsid w:val="00902B9E"/>
  </w:style>
  <w:style w:type="character" w:styleId="a7">
    <w:name w:val="Hyperlink"/>
    <w:basedOn w:val="a0"/>
    <w:uiPriority w:val="99"/>
    <w:unhideWhenUsed/>
    <w:rsid w:val="00902B9E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91898"/>
    <w:rPr>
      <w:color w:val="605E5C"/>
      <w:shd w:val="clear" w:color="auto" w:fill="E1DFDD"/>
    </w:rPr>
  </w:style>
  <w:style w:type="table" w:customStyle="1" w:styleId="10">
    <w:name w:val="Сетка таблицы1"/>
    <w:basedOn w:val="a1"/>
    <w:next w:val="a8"/>
    <w:uiPriority w:val="39"/>
    <w:rsid w:val="006C1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C1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957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B52CE-DB9E-4542-99D4-C0748D27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irynakuderska</dc:creator>
  <cp:lastModifiedBy>Олександр Головня</cp:lastModifiedBy>
  <cp:revision>5</cp:revision>
  <cp:lastPrinted>2022-05-07T21:18:00Z</cp:lastPrinted>
  <dcterms:created xsi:type="dcterms:W3CDTF">2024-11-06T20:45:00Z</dcterms:created>
  <dcterms:modified xsi:type="dcterms:W3CDTF">2024-11-07T11:02:00Z</dcterms:modified>
</cp:coreProperties>
</file>