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14" w14:textId="0BA013F9" w:rsidR="000C154A" w:rsidRDefault="00FB75D6">
      <w:pPr>
        <w:rPr>
          <w:lang w:val="uk-UA"/>
        </w:rPr>
      </w:pPr>
      <w:r>
        <w:rPr>
          <w:lang w:val="uk-UA"/>
        </w:rPr>
        <w:t>2</w:t>
      </w:r>
    </w:p>
    <w:p w14:paraId="172ADDF9" w14:textId="4DCE73DE" w:rsidR="00FB75D6" w:rsidRDefault="00FB75D6">
      <w:pPr>
        <w:rPr>
          <w:color w:val="202122"/>
          <w:sz w:val="21"/>
          <w:szCs w:val="21"/>
          <w:shd w:val="clear" w:color="auto" w:fill="FFFFFF"/>
          <w:lang w:val="uk-UA"/>
        </w:rPr>
      </w:pPr>
      <w:r w:rsidRPr="00FB75D6">
        <w:rPr>
          <w:b/>
          <w:bCs/>
          <w:color w:val="202122"/>
          <w:sz w:val="21"/>
          <w:szCs w:val="21"/>
          <w:shd w:val="clear" w:color="auto" w:fill="FFFFFF"/>
          <w:lang w:val="uk-UA"/>
        </w:rPr>
        <w:t>Ува́га</w:t>
      </w:r>
      <w:r>
        <w:rPr>
          <w:color w:val="202122"/>
          <w:sz w:val="21"/>
          <w:szCs w:val="21"/>
          <w:shd w:val="clear" w:color="auto" w:fill="FFFFFF"/>
        </w:rPr>
        <w:t> </w:t>
      </w:r>
      <w:r w:rsidRPr="00FB75D6">
        <w:rPr>
          <w:color w:val="202122"/>
          <w:sz w:val="21"/>
          <w:szCs w:val="21"/>
          <w:shd w:val="clear" w:color="auto" w:fill="FFFFFF"/>
          <w:lang w:val="uk-UA"/>
        </w:rPr>
        <w:t>— спрямованість психічної діяльності людини та її зосередженість у певний момент на об'єкти або явища, які мають для людини певне значення при одночасному абстрагуванні від інших, в результаті чого вони відображаються повніше, чіткіше, глибше, ніж інші.</w:t>
      </w:r>
    </w:p>
    <w:p w14:paraId="043FE39E" w14:textId="3CCFADC1" w:rsidR="00FB75D6" w:rsidRDefault="00FB75D6">
      <w:pPr>
        <w:rPr>
          <w:color w:val="202122"/>
          <w:sz w:val="21"/>
          <w:szCs w:val="21"/>
          <w:shd w:val="clear" w:color="auto" w:fill="FFFFFF"/>
          <w:lang w:val="uk-UA"/>
        </w:rPr>
      </w:pPr>
      <w:r>
        <w:rPr>
          <w:color w:val="202122"/>
          <w:sz w:val="21"/>
          <w:szCs w:val="21"/>
          <w:shd w:val="clear" w:color="auto" w:fill="FFFFFF"/>
          <w:lang w:val="uk-UA"/>
        </w:rPr>
        <w:t>3</w:t>
      </w:r>
    </w:p>
    <w:p w14:paraId="064989FA" w14:textId="29AE447D" w:rsidR="00FB75D6" w:rsidRDefault="00FB75D6">
      <w:pPr>
        <w:rPr>
          <w:color w:val="202122"/>
          <w:sz w:val="21"/>
          <w:szCs w:val="21"/>
          <w:shd w:val="clear" w:color="auto" w:fill="FFFFFF"/>
        </w:rPr>
      </w:pPr>
      <w:r>
        <w:rPr>
          <w:color w:val="202122"/>
          <w:sz w:val="21"/>
          <w:szCs w:val="21"/>
          <w:shd w:val="clear" w:color="auto" w:fill="FFFFFF"/>
        </w:rPr>
        <w:t>Говорячи про види уваги, розрізняють три основних:</w:t>
      </w:r>
    </w:p>
    <w:p w14:paraId="1D863B15" w14:textId="1753B18A" w:rsidR="00FB75D6" w:rsidRDefault="00FB75D6">
      <w:pPr>
        <w:rPr>
          <w:color w:val="202122"/>
          <w:sz w:val="21"/>
          <w:szCs w:val="21"/>
          <w:shd w:val="clear" w:color="auto" w:fill="FFFFFF"/>
          <w:lang w:val="uk-UA"/>
        </w:rPr>
      </w:pPr>
      <w:r>
        <w:rPr>
          <w:color w:val="202122"/>
          <w:sz w:val="21"/>
          <w:szCs w:val="21"/>
          <w:shd w:val="clear" w:color="auto" w:fill="FFFFFF"/>
          <w:lang w:val="uk-UA"/>
        </w:rPr>
        <w:t>4</w:t>
      </w:r>
    </w:p>
    <w:p w14:paraId="1108ACE2" w14:textId="77777777" w:rsidR="00FB75D6" w:rsidRPr="00FB75D6" w:rsidRDefault="00FB75D6" w:rsidP="00FB75D6">
      <w:pPr>
        <w:shd w:val="clear" w:color="auto" w:fill="FFFFFF"/>
        <w:spacing w:before="120" w:after="120" w:line="240" w:lineRule="auto"/>
        <w:rPr>
          <w:rFonts w:eastAsia="Times New Roman"/>
          <w:color w:val="202122"/>
          <w:sz w:val="21"/>
          <w:szCs w:val="21"/>
          <w:lang w:val="ru-UA"/>
        </w:rPr>
      </w:pPr>
      <w:r w:rsidRPr="00FB75D6">
        <w:rPr>
          <w:rFonts w:eastAsia="Times New Roman"/>
          <w:b/>
          <w:bCs/>
          <w:color w:val="202122"/>
          <w:sz w:val="21"/>
          <w:szCs w:val="21"/>
          <w:lang w:val="ru-UA"/>
        </w:rPr>
        <w:t>Мимовільна увага</w:t>
      </w:r>
      <w:r w:rsidRPr="00FB75D6">
        <w:rPr>
          <w:rFonts w:eastAsia="Times New Roman"/>
          <w:color w:val="202122"/>
          <w:sz w:val="21"/>
          <w:szCs w:val="21"/>
          <w:lang w:val="ru-UA"/>
        </w:rPr>
        <w:t> — не пов'язана з цілеспрямованою діяльністю і </w:t>
      </w:r>
      <w:hyperlink r:id="rId5" w:tooltip="Воля" w:history="1">
        <w:r w:rsidRPr="00FB75D6">
          <w:rPr>
            <w:rFonts w:eastAsia="Times New Roman"/>
            <w:color w:val="0645AD"/>
            <w:sz w:val="21"/>
            <w:szCs w:val="21"/>
            <w:u w:val="single"/>
            <w:lang w:val="ru-UA"/>
          </w:rPr>
          <w:t>вольовим</w:t>
        </w:r>
      </w:hyperlink>
      <w:r w:rsidRPr="00FB75D6">
        <w:rPr>
          <w:rFonts w:eastAsia="Times New Roman"/>
          <w:color w:val="202122"/>
          <w:sz w:val="21"/>
          <w:szCs w:val="21"/>
          <w:lang w:val="ru-UA"/>
        </w:rPr>
        <w:t> зусиллям. Про мимовільну увагу говорять у тих випадках, коли увага людини залучається самим подразником. Мимовільна увага — увага неуважної людини. Фактори, що викликають мимовільну увагу:</w:t>
      </w:r>
    </w:p>
    <w:p w14:paraId="14DD10BA" w14:textId="77777777" w:rsidR="00FB75D6" w:rsidRPr="00FB75D6" w:rsidRDefault="00FB75D6" w:rsidP="00FB75D6">
      <w:pPr>
        <w:numPr>
          <w:ilvl w:val="0"/>
          <w:numId w:val="1"/>
        </w:numPr>
        <w:shd w:val="clear" w:color="auto" w:fill="FFFFFF"/>
        <w:spacing w:before="100" w:beforeAutospacing="1" w:after="24" w:line="240" w:lineRule="auto"/>
        <w:ind w:left="384"/>
        <w:rPr>
          <w:rFonts w:eastAsia="Times New Roman"/>
          <w:color w:val="202122"/>
          <w:sz w:val="21"/>
          <w:szCs w:val="21"/>
          <w:lang w:val="ru-UA"/>
        </w:rPr>
      </w:pPr>
      <w:r w:rsidRPr="00FB75D6">
        <w:rPr>
          <w:rFonts w:eastAsia="Times New Roman"/>
          <w:color w:val="202122"/>
          <w:sz w:val="21"/>
          <w:szCs w:val="21"/>
          <w:lang w:val="ru-UA"/>
        </w:rPr>
        <w:t>інтенсивність (сила) подразника</w:t>
      </w:r>
    </w:p>
    <w:p w14:paraId="7FD77301" w14:textId="77777777" w:rsidR="00FB75D6" w:rsidRPr="00FB75D6" w:rsidRDefault="00FB75D6" w:rsidP="00FB75D6">
      <w:pPr>
        <w:numPr>
          <w:ilvl w:val="0"/>
          <w:numId w:val="1"/>
        </w:numPr>
        <w:shd w:val="clear" w:color="auto" w:fill="FFFFFF"/>
        <w:spacing w:before="100" w:beforeAutospacing="1" w:after="24" w:line="240" w:lineRule="auto"/>
        <w:ind w:left="384"/>
        <w:rPr>
          <w:rFonts w:eastAsia="Times New Roman"/>
          <w:color w:val="202122"/>
          <w:sz w:val="21"/>
          <w:szCs w:val="21"/>
          <w:lang w:val="ru-UA"/>
        </w:rPr>
      </w:pPr>
      <w:r w:rsidRPr="00FB75D6">
        <w:rPr>
          <w:rFonts w:eastAsia="Times New Roman"/>
          <w:color w:val="202122"/>
          <w:sz w:val="21"/>
          <w:szCs w:val="21"/>
          <w:lang w:val="ru-UA"/>
        </w:rPr>
        <w:t>новизна подразника</w:t>
      </w:r>
    </w:p>
    <w:p w14:paraId="0763D97D" w14:textId="77777777" w:rsidR="00FB75D6" w:rsidRPr="00FB75D6" w:rsidRDefault="00FB75D6" w:rsidP="00FB75D6">
      <w:pPr>
        <w:numPr>
          <w:ilvl w:val="0"/>
          <w:numId w:val="1"/>
        </w:numPr>
        <w:shd w:val="clear" w:color="auto" w:fill="FFFFFF"/>
        <w:spacing w:before="100" w:beforeAutospacing="1" w:after="24" w:line="240" w:lineRule="auto"/>
        <w:ind w:left="384"/>
        <w:rPr>
          <w:rFonts w:eastAsia="Times New Roman"/>
          <w:color w:val="202122"/>
          <w:sz w:val="21"/>
          <w:szCs w:val="21"/>
          <w:lang w:val="ru-UA"/>
        </w:rPr>
      </w:pPr>
      <w:r w:rsidRPr="00FB75D6">
        <w:rPr>
          <w:rFonts w:eastAsia="Times New Roman"/>
          <w:color w:val="202122"/>
          <w:sz w:val="21"/>
          <w:szCs w:val="21"/>
          <w:lang w:val="ru-UA"/>
        </w:rPr>
        <w:t>контраст подразників</w:t>
      </w:r>
    </w:p>
    <w:p w14:paraId="1C9B4816" w14:textId="77777777" w:rsidR="00FB75D6" w:rsidRPr="00FB75D6" w:rsidRDefault="00FB75D6" w:rsidP="00FB75D6">
      <w:pPr>
        <w:numPr>
          <w:ilvl w:val="0"/>
          <w:numId w:val="1"/>
        </w:numPr>
        <w:shd w:val="clear" w:color="auto" w:fill="FFFFFF"/>
        <w:spacing w:before="100" w:beforeAutospacing="1" w:after="24" w:line="240" w:lineRule="auto"/>
        <w:ind w:left="384"/>
        <w:rPr>
          <w:rFonts w:eastAsia="Times New Roman"/>
          <w:color w:val="202122"/>
          <w:sz w:val="21"/>
          <w:szCs w:val="21"/>
          <w:lang w:val="ru-UA"/>
        </w:rPr>
      </w:pPr>
      <w:r w:rsidRPr="00FB75D6">
        <w:rPr>
          <w:rFonts w:eastAsia="Times New Roman"/>
          <w:color w:val="202122"/>
          <w:sz w:val="21"/>
          <w:szCs w:val="21"/>
          <w:lang w:val="ru-UA"/>
        </w:rPr>
        <w:t>відповідність внутрішньому станові організму (потребам)</w:t>
      </w:r>
    </w:p>
    <w:p w14:paraId="0C2925E6" w14:textId="77777777" w:rsidR="00FB75D6" w:rsidRPr="00FB75D6" w:rsidRDefault="00FB75D6" w:rsidP="00FB75D6">
      <w:pPr>
        <w:numPr>
          <w:ilvl w:val="0"/>
          <w:numId w:val="1"/>
        </w:numPr>
        <w:shd w:val="clear" w:color="auto" w:fill="FFFFFF"/>
        <w:spacing w:before="100" w:beforeAutospacing="1" w:after="24" w:line="240" w:lineRule="auto"/>
        <w:ind w:left="384"/>
        <w:rPr>
          <w:rFonts w:eastAsia="Times New Roman"/>
          <w:color w:val="202122"/>
          <w:sz w:val="21"/>
          <w:szCs w:val="21"/>
          <w:lang w:val="ru-UA"/>
        </w:rPr>
      </w:pPr>
      <w:r w:rsidRPr="00FB75D6">
        <w:rPr>
          <w:rFonts w:eastAsia="Times New Roman"/>
          <w:color w:val="202122"/>
          <w:sz w:val="21"/>
          <w:szCs w:val="21"/>
          <w:lang w:val="ru-UA"/>
        </w:rPr>
        <w:t>безпосередній інтерес: те, що цікаве, емоційно насичене, захоплююче, викликає тривале інтенсивне зосередження</w:t>
      </w:r>
    </w:p>
    <w:p w14:paraId="219F9AFC" w14:textId="77777777" w:rsidR="00FB75D6" w:rsidRPr="00FB75D6" w:rsidRDefault="00FB75D6" w:rsidP="00FB75D6">
      <w:pPr>
        <w:numPr>
          <w:ilvl w:val="0"/>
          <w:numId w:val="1"/>
        </w:numPr>
        <w:shd w:val="clear" w:color="auto" w:fill="FFFFFF"/>
        <w:spacing w:before="100" w:beforeAutospacing="1" w:after="24" w:line="240" w:lineRule="auto"/>
        <w:ind w:left="384"/>
        <w:rPr>
          <w:rFonts w:eastAsia="Times New Roman"/>
          <w:color w:val="202122"/>
          <w:sz w:val="21"/>
          <w:szCs w:val="21"/>
          <w:lang w:val="ru-UA"/>
        </w:rPr>
      </w:pPr>
      <w:r w:rsidRPr="00FB75D6">
        <w:rPr>
          <w:rFonts w:eastAsia="Times New Roman"/>
          <w:color w:val="202122"/>
          <w:sz w:val="21"/>
          <w:szCs w:val="21"/>
          <w:lang w:val="ru-UA"/>
        </w:rPr>
        <w:t>загальна спрямованість особистості</w:t>
      </w:r>
    </w:p>
    <w:p w14:paraId="03097265" w14:textId="0C23777B" w:rsidR="00FB75D6" w:rsidRDefault="00FB75D6" w:rsidP="00FB75D6">
      <w:pPr>
        <w:shd w:val="clear" w:color="auto" w:fill="FFFFFF"/>
        <w:spacing w:before="120" w:after="120" w:line="240" w:lineRule="auto"/>
        <w:rPr>
          <w:rFonts w:eastAsia="Times New Roman"/>
          <w:color w:val="202122"/>
          <w:sz w:val="21"/>
          <w:szCs w:val="21"/>
          <w:lang w:val="ru-UA"/>
        </w:rPr>
      </w:pPr>
      <w:r w:rsidRPr="00FB75D6">
        <w:rPr>
          <w:rFonts w:eastAsia="Times New Roman"/>
          <w:color w:val="202122"/>
          <w:sz w:val="21"/>
          <w:szCs w:val="21"/>
          <w:lang w:val="ru-UA"/>
        </w:rPr>
        <w:t>Механізми мимовільної уваги спільні у людей із тваринами. Це, насамперед, орієнтувальний </w:t>
      </w:r>
      <w:hyperlink r:id="rId6" w:tooltip="Рефлекс" w:history="1">
        <w:r w:rsidRPr="00FB75D6">
          <w:rPr>
            <w:rFonts w:eastAsia="Times New Roman"/>
            <w:color w:val="0645AD"/>
            <w:sz w:val="21"/>
            <w:szCs w:val="21"/>
            <w:u w:val="single"/>
            <w:lang w:val="ru-UA"/>
          </w:rPr>
          <w:t>рефлекс</w:t>
        </w:r>
      </w:hyperlink>
      <w:r w:rsidRPr="00FB75D6">
        <w:rPr>
          <w:rFonts w:eastAsia="Times New Roman"/>
          <w:color w:val="202122"/>
          <w:sz w:val="21"/>
          <w:szCs w:val="21"/>
          <w:lang w:val="ru-UA"/>
        </w:rPr>
        <w:t>  Мимовільна увага є вже в маленької дитини, але на перших етапах </w:t>
      </w:r>
      <w:hyperlink r:id="rId7" w:tooltip="Онтогенез" w:history="1">
        <w:r w:rsidRPr="00FB75D6">
          <w:rPr>
            <w:rFonts w:eastAsia="Times New Roman"/>
            <w:color w:val="0645AD"/>
            <w:sz w:val="21"/>
            <w:szCs w:val="21"/>
            <w:u w:val="single"/>
            <w:lang w:val="ru-UA"/>
          </w:rPr>
          <w:t>онтогенезу</w:t>
        </w:r>
      </w:hyperlink>
      <w:r w:rsidRPr="00FB75D6">
        <w:rPr>
          <w:rFonts w:eastAsia="Times New Roman"/>
          <w:color w:val="202122"/>
          <w:sz w:val="21"/>
          <w:szCs w:val="21"/>
          <w:lang w:val="ru-UA"/>
        </w:rPr>
        <w:t> вона має хитливий і відносно вузький за обсягом характер (дитина раннього й дошкільного віку дуже швидко втрачає увагу до нового подразника, орієнтувальний рефлекс у неї швидко згасає чи гальмується появою будь-якого іншого подразника), обсяг її уваги відносно вузький і вона не може розподіляти свою увагу між декількома подразниками.</w:t>
      </w:r>
    </w:p>
    <w:p w14:paraId="5B115DC1" w14:textId="634B6846" w:rsidR="00FB75D6" w:rsidRDefault="00FB75D6" w:rsidP="00FB75D6">
      <w:pPr>
        <w:shd w:val="clear" w:color="auto" w:fill="FFFFFF"/>
        <w:spacing w:before="120" w:after="120" w:line="240" w:lineRule="auto"/>
        <w:rPr>
          <w:rFonts w:eastAsia="Times New Roman"/>
          <w:color w:val="202122"/>
          <w:sz w:val="21"/>
          <w:szCs w:val="21"/>
          <w:lang w:val="uk-UA"/>
        </w:rPr>
      </w:pPr>
      <w:r>
        <w:rPr>
          <w:rFonts w:eastAsia="Times New Roman"/>
          <w:color w:val="202122"/>
          <w:sz w:val="21"/>
          <w:szCs w:val="21"/>
          <w:lang w:val="uk-UA"/>
        </w:rPr>
        <w:t>5</w:t>
      </w:r>
    </w:p>
    <w:p w14:paraId="2104A5D4" w14:textId="77777777" w:rsidR="00FB75D6" w:rsidRPr="00FB75D6" w:rsidRDefault="00FB75D6" w:rsidP="00FB75D6">
      <w:pPr>
        <w:shd w:val="clear" w:color="auto" w:fill="FFFFFF"/>
        <w:spacing w:before="120" w:after="120" w:line="240" w:lineRule="auto"/>
        <w:rPr>
          <w:rFonts w:eastAsia="Times New Roman"/>
          <w:color w:val="202122"/>
          <w:sz w:val="21"/>
          <w:szCs w:val="21"/>
          <w:lang w:val="ru-UA"/>
        </w:rPr>
      </w:pPr>
      <w:r w:rsidRPr="00FB75D6">
        <w:rPr>
          <w:rFonts w:eastAsia="Times New Roman"/>
          <w:b/>
          <w:bCs/>
          <w:color w:val="202122"/>
          <w:sz w:val="21"/>
          <w:szCs w:val="21"/>
          <w:lang w:val="ru-UA"/>
        </w:rPr>
        <w:t>Довільна увага</w:t>
      </w:r>
      <w:r w:rsidRPr="00FB75D6">
        <w:rPr>
          <w:rFonts w:eastAsia="Times New Roman"/>
          <w:color w:val="202122"/>
          <w:sz w:val="21"/>
          <w:szCs w:val="21"/>
          <w:lang w:val="ru-UA"/>
        </w:rPr>
        <w:t> має цілеспрямований характер і вимагає вольового зусилля. Цей вид уваги існує тільки в людини. Основний факт, що вказує на наявність у людини особливого типу уваги, невластивого тварині, полягає в тому, що людина довільно може зосереджувати свою увагу то на одному, то на іншому об'єкті, навіть у тих випадках, коли в навколишній обстановці нічого не змінюється. Дитина раннього віку розглядає звичну обстановку, і її погляд блукає по навколишніх предметах, не зупиняючись на жодному з них і не виділяючи того чи іншого предмета з інших.</w:t>
      </w:r>
    </w:p>
    <w:p w14:paraId="0C4B38E5" w14:textId="06152CE5" w:rsidR="00FB75D6" w:rsidRDefault="00FB75D6" w:rsidP="00FB75D6">
      <w:pPr>
        <w:shd w:val="clear" w:color="auto" w:fill="FFFFFF"/>
        <w:spacing w:before="120" w:after="120" w:line="240" w:lineRule="auto"/>
        <w:rPr>
          <w:rFonts w:eastAsia="Times New Roman"/>
          <w:color w:val="202122"/>
          <w:sz w:val="21"/>
          <w:szCs w:val="21"/>
          <w:lang w:val="ru-UA"/>
        </w:rPr>
      </w:pPr>
      <w:r w:rsidRPr="00FB75D6">
        <w:rPr>
          <w:rFonts w:eastAsia="Times New Roman"/>
          <w:color w:val="202122"/>
          <w:sz w:val="21"/>
          <w:szCs w:val="21"/>
          <w:lang w:val="ru-UA"/>
        </w:rPr>
        <w:t xml:space="preserve">Розвиток мовлення </w:t>
      </w:r>
      <w:r w:rsidR="00D85B02">
        <w:rPr>
          <w:rFonts w:eastAsia="Times New Roman"/>
          <w:color w:val="202122"/>
          <w:sz w:val="21"/>
          <w:szCs w:val="21"/>
          <w:lang w:val="uk-UA"/>
        </w:rPr>
        <w:t>людини</w:t>
      </w:r>
      <w:r w:rsidRPr="00FB75D6">
        <w:rPr>
          <w:rFonts w:eastAsia="Times New Roman"/>
          <w:color w:val="202122"/>
          <w:sz w:val="21"/>
          <w:szCs w:val="21"/>
          <w:lang w:val="ru-UA"/>
        </w:rPr>
        <w:t xml:space="preserve"> вносить значні зміни в механізм керування її уваги. Зараз вона вже здатна самостійно переміщати свою увагу, указуючи на той чи інший предмет жестом або називаючи його відповідним словом. Організація уваги, яка раніше була розподілена між двома людьми — матір'ю та дитиною, стає тепер новою формою внутрішньої організації уваги, соціальною за своїм походженням, але внутрішньо опосередкованою за своєю структурою. Фактори довільної уваги, на відміну від мимовільної, пов'язані не стільки із зовнішніми подразниками, скільки із самим суб'єктом і </w:t>
      </w:r>
      <w:hyperlink r:id="rId8" w:tooltip="Структура діяльності (ще не написана)" w:history="1">
        <w:r w:rsidRPr="00FB75D6">
          <w:rPr>
            <w:rFonts w:eastAsia="Times New Roman"/>
            <w:color w:val="BA0000"/>
            <w:sz w:val="21"/>
            <w:szCs w:val="21"/>
            <w:u w:val="single"/>
            <w:lang w:val="ru-UA"/>
          </w:rPr>
          <w:t>структурою його діяльності</w:t>
        </w:r>
      </w:hyperlink>
      <w:r w:rsidRPr="00FB75D6">
        <w:rPr>
          <w:rFonts w:eastAsia="Times New Roman"/>
          <w:color w:val="202122"/>
          <w:sz w:val="21"/>
          <w:szCs w:val="21"/>
          <w:lang w:val="ru-UA"/>
        </w:rPr>
        <w:t>, насамперед з цілями і завданнями цієї діяльності</w:t>
      </w:r>
    </w:p>
    <w:p w14:paraId="401FF1DF" w14:textId="13F06292" w:rsidR="00FB75D6" w:rsidRDefault="00FB75D6" w:rsidP="00FB75D6">
      <w:pPr>
        <w:shd w:val="clear" w:color="auto" w:fill="FFFFFF"/>
        <w:spacing w:before="120" w:after="120" w:line="240" w:lineRule="auto"/>
        <w:rPr>
          <w:rFonts w:eastAsia="Times New Roman"/>
          <w:color w:val="202122"/>
          <w:sz w:val="21"/>
          <w:szCs w:val="21"/>
          <w:lang w:val="uk-UA"/>
        </w:rPr>
      </w:pPr>
      <w:r>
        <w:rPr>
          <w:rFonts w:eastAsia="Times New Roman"/>
          <w:color w:val="202122"/>
          <w:sz w:val="21"/>
          <w:szCs w:val="21"/>
          <w:lang w:val="uk-UA"/>
        </w:rPr>
        <w:t>6</w:t>
      </w:r>
    </w:p>
    <w:p w14:paraId="080241ED" w14:textId="1A673B25" w:rsidR="00FB75D6" w:rsidRPr="00FB75D6" w:rsidRDefault="00FB75D6" w:rsidP="00FB75D6">
      <w:pPr>
        <w:shd w:val="clear" w:color="auto" w:fill="FFFFFF"/>
        <w:spacing w:before="120" w:after="120" w:line="240" w:lineRule="auto"/>
        <w:rPr>
          <w:rFonts w:eastAsia="Times New Roman"/>
          <w:color w:val="202122"/>
          <w:sz w:val="21"/>
          <w:szCs w:val="21"/>
          <w:lang w:val="uk-UA"/>
        </w:rPr>
      </w:pPr>
      <w:r>
        <w:rPr>
          <w:color w:val="202122"/>
          <w:sz w:val="21"/>
          <w:szCs w:val="21"/>
          <w:shd w:val="clear" w:color="auto" w:fill="FFFFFF"/>
        </w:rPr>
        <w:t>Якщо в цілеспрямованій діяльності для особистості стають цікавими й значимими зміст і сам процес, а не тільки результат, як при довільному зосередженні, є підстава говорити про післядовільну увагу. Діяльність так захоплює в цьому випадку людину, що їй не потрібно вольових зусиль для підтримки уваги. Післядовільна увага характеризується тривалою високою зосередженістю, з нею обґрунтовано пов'язують найбільш інтенсивну й плідну розумову діяльність, високу продуктивність усіх видів праці.</w:t>
      </w:r>
    </w:p>
    <w:p w14:paraId="00CEB6C8" w14:textId="77777777" w:rsidR="00FB75D6" w:rsidRPr="00FB75D6" w:rsidRDefault="00FB75D6">
      <w:pPr>
        <w:rPr>
          <w:lang w:val="ru-UA"/>
        </w:rPr>
      </w:pPr>
    </w:p>
    <w:sectPr w:rsidR="00FB75D6" w:rsidRPr="00FB75D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B10706"/>
    <w:multiLevelType w:val="multilevel"/>
    <w:tmpl w:val="4374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54A"/>
    <w:rsid w:val="000C154A"/>
    <w:rsid w:val="000F6BBD"/>
    <w:rsid w:val="00381A95"/>
    <w:rsid w:val="00B819AC"/>
    <w:rsid w:val="00D85B02"/>
    <w:rsid w:val="00FB75D6"/>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5BD1"/>
  <w15:docId w15:val="{7BCB43B3-5840-42F6-BFB8-30BB2570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semiHidden/>
    <w:unhideWhenUsed/>
    <w:rsid w:val="00B819AC"/>
    <w:pPr>
      <w:spacing w:before="100" w:beforeAutospacing="1" w:after="100" w:afterAutospacing="1" w:line="240" w:lineRule="auto"/>
    </w:pPr>
    <w:rPr>
      <w:rFonts w:ascii="Times New Roman" w:eastAsia="Times New Roman" w:hAnsi="Times New Roman" w:cs="Times New Roman"/>
      <w:sz w:val="24"/>
      <w:szCs w:val="24"/>
      <w:lang w:val="ru-UA"/>
    </w:rPr>
  </w:style>
  <w:style w:type="character" w:styleId="a6">
    <w:name w:val="Strong"/>
    <w:basedOn w:val="a0"/>
    <w:uiPriority w:val="22"/>
    <w:qFormat/>
    <w:rsid w:val="00B819AC"/>
    <w:rPr>
      <w:b/>
      <w:bCs/>
    </w:rPr>
  </w:style>
  <w:style w:type="character" w:styleId="a7">
    <w:name w:val="Hyperlink"/>
    <w:basedOn w:val="a0"/>
    <w:uiPriority w:val="99"/>
    <w:semiHidden/>
    <w:unhideWhenUsed/>
    <w:rsid w:val="00FB75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389102">
      <w:bodyDiv w:val="1"/>
      <w:marLeft w:val="0"/>
      <w:marRight w:val="0"/>
      <w:marTop w:val="0"/>
      <w:marBottom w:val="0"/>
      <w:divBdr>
        <w:top w:val="none" w:sz="0" w:space="0" w:color="auto"/>
        <w:left w:val="none" w:sz="0" w:space="0" w:color="auto"/>
        <w:bottom w:val="none" w:sz="0" w:space="0" w:color="auto"/>
        <w:right w:val="none" w:sz="0" w:space="0" w:color="auto"/>
      </w:divBdr>
    </w:div>
    <w:div w:id="764032966">
      <w:bodyDiv w:val="1"/>
      <w:marLeft w:val="0"/>
      <w:marRight w:val="0"/>
      <w:marTop w:val="0"/>
      <w:marBottom w:val="0"/>
      <w:divBdr>
        <w:top w:val="none" w:sz="0" w:space="0" w:color="auto"/>
        <w:left w:val="none" w:sz="0" w:space="0" w:color="auto"/>
        <w:bottom w:val="none" w:sz="0" w:space="0" w:color="auto"/>
        <w:right w:val="none" w:sz="0" w:space="0" w:color="auto"/>
      </w:divBdr>
    </w:div>
    <w:div w:id="197374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ndex.php?title=%D0%A1%D1%82%D1%80%D1%83%D0%BA%D1%82%D1%83%D1%80%D0%B0_%D0%B4%D1%96%D1%8F%D0%BB%D1%8C%D0%BD%D0%BE%D1%81%D1%82%D1%96&amp;action=edit&amp;redlink=1" TargetMode="External"/><Relationship Id="rId3" Type="http://schemas.openxmlformats.org/officeDocument/2006/relationships/settings" Target="settings.xml"/><Relationship Id="rId7" Type="http://schemas.openxmlformats.org/officeDocument/2006/relationships/hyperlink" Target="https://uk.wikipedia.org/wiki/%D0%9E%D0%BD%D1%82%D0%BE%D0%B3%D0%B5%D0%BD%D0%B5%D0%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A0%D0%B5%D1%84%D0%BB%D0%B5%D0%BA%D1%81" TargetMode="External"/><Relationship Id="rId5" Type="http://schemas.openxmlformats.org/officeDocument/2006/relationships/hyperlink" Target="https://uk.wikipedia.org/wiki/%D0%92%D0%BE%D0%BB%D1%8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536</Words>
  <Characters>3059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Саша Головня</cp:lastModifiedBy>
  <cp:revision>5</cp:revision>
  <dcterms:created xsi:type="dcterms:W3CDTF">2022-10-04T12:01:00Z</dcterms:created>
  <dcterms:modified xsi:type="dcterms:W3CDTF">2022-10-04T20:56:00Z</dcterms:modified>
</cp:coreProperties>
</file>