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2F40A" w14:textId="71CF6806" w:rsidR="00423C1B" w:rsidRP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r>
        <w:rPr>
          <w:rFonts w:ascii="Times New Roman" w:eastAsia="Times New Roman" w:hAnsi="Times New Roman" w:cs="Times New Roman"/>
          <w:color w:val="402A18"/>
          <w:sz w:val="28"/>
          <w:szCs w:val="28"/>
          <w:lang w:val="ru-UA" w:eastAsia="ru-UA"/>
        </w:rPr>
        <w:tab/>
      </w:r>
      <w:r w:rsidRPr="00423C1B">
        <w:rPr>
          <w:rFonts w:ascii="Times New Roman" w:eastAsia="Times New Roman" w:hAnsi="Times New Roman" w:cs="Times New Roman"/>
          <w:color w:val="402A18"/>
          <w:sz w:val="28"/>
          <w:szCs w:val="28"/>
          <w:lang w:val="ru-UA" w:eastAsia="ru-UA"/>
        </w:rPr>
        <w:t>У спілкуванні</w:t>
      </w:r>
      <w:r>
        <w:rPr>
          <w:rFonts w:ascii="Times New Roman" w:eastAsia="Times New Roman" w:hAnsi="Times New Roman" w:cs="Times New Roman"/>
          <w:color w:val="402A18"/>
          <w:sz w:val="28"/>
          <w:szCs w:val="28"/>
          <w:lang w:val="uk-UA" w:eastAsia="ru-UA"/>
        </w:rPr>
        <w:t xml:space="preserve"> </w:t>
      </w:r>
      <w:r w:rsidRPr="00423C1B">
        <w:rPr>
          <w:rFonts w:ascii="Times New Roman" w:eastAsia="Times New Roman" w:hAnsi="Times New Roman" w:cs="Times New Roman"/>
          <w:color w:val="402A18"/>
          <w:sz w:val="28"/>
          <w:szCs w:val="28"/>
          <w:lang w:val="ru-UA" w:eastAsia="ru-UA"/>
        </w:rPr>
        <w:t xml:space="preserve">існують </w:t>
      </w:r>
      <w:r w:rsidRPr="00423C1B">
        <w:rPr>
          <w:rFonts w:ascii="Times New Roman" w:eastAsia="Times New Roman" w:hAnsi="Times New Roman" w:cs="Times New Roman"/>
          <w:b/>
          <w:bCs/>
          <w:i/>
          <w:iCs/>
          <w:color w:val="402A18"/>
          <w:sz w:val="28"/>
          <w:szCs w:val="28"/>
          <w:lang w:val="ru-UA" w:eastAsia="ru-UA"/>
        </w:rPr>
        <w:t>комунікативні бар’єри</w:t>
      </w:r>
      <w:r w:rsidRPr="00423C1B">
        <w:rPr>
          <w:rFonts w:ascii="Times New Roman" w:eastAsia="Times New Roman" w:hAnsi="Times New Roman" w:cs="Times New Roman"/>
          <w:i/>
          <w:iCs/>
          <w:color w:val="402A18"/>
          <w:sz w:val="28"/>
          <w:szCs w:val="28"/>
          <w:lang w:val="ru-UA" w:eastAsia="ru-UA"/>
        </w:rPr>
        <w:t> </w:t>
      </w:r>
      <w:r w:rsidRPr="00423C1B">
        <w:rPr>
          <w:rFonts w:ascii="Times New Roman" w:eastAsia="Times New Roman" w:hAnsi="Times New Roman" w:cs="Times New Roman"/>
          <w:color w:val="402A18"/>
          <w:sz w:val="28"/>
          <w:szCs w:val="28"/>
          <w:lang w:val="ru-UA" w:eastAsia="ru-UA"/>
        </w:rPr>
        <w:t>– типові труднощі, що виникають через дію тих чи інших об’єктивних або суб’єктивних обставин, а це суттєво заважає людям порозумітися один з одним.</w:t>
      </w:r>
    </w:p>
    <w:p w14:paraId="50F9112D" w14:textId="1051D55B" w:rsidR="00423C1B" w:rsidRP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r>
        <w:rPr>
          <w:rFonts w:ascii="Times New Roman" w:eastAsia="Times New Roman" w:hAnsi="Times New Roman" w:cs="Times New Roman"/>
          <w:color w:val="402A18"/>
          <w:sz w:val="28"/>
          <w:szCs w:val="28"/>
          <w:lang w:val="ru-UA" w:eastAsia="ru-UA"/>
        </w:rPr>
        <w:tab/>
      </w:r>
      <w:r w:rsidRPr="00423C1B">
        <w:rPr>
          <w:rFonts w:ascii="Times New Roman" w:eastAsia="Times New Roman" w:hAnsi="Times New Roman" w:cs="Times New Roman"/>
          <w:color w:val="402A18"/>
          <w:sz w:val="28"/>
          <w:szCs w:val="28"/>
          <w:lang w:val="ru-UA" w:eastAsia="ru-UA"/>
        </w:rPr>
        <w:t>Комунікативні бар’єри можуть бути пов’язані з багатьма факторами: різницею в національних культурах людей, які спілкуються, різницею в їхніх цінностях, рівні освіти, релігійної приналежності тощо. Такі бар’єри можна назвати </w:t>
      </w:r>
      <w:r w:rsidRPr="00423C1B">
        <w:rPr>
          <w:rFonts w:ascii="Times New Roman" w:eastAsia="Times New Roman" w:hAnsi="Times New Roman" w:cs="Times New Roman"/>
          <w:b/>
          <w:bCs/>
          <w:i/>
          <w:iCs/>
          <w:color w:val="402A18"/>
          <w:sz w:val="28"/>
          <w:szCs w:val="28"/>
          <w:lang w:val="ru-UA" w:eastAsia="ru-UA"/>
        </w:rPr>
        <w:t>культурними </w:t>
      </w:r>
    </w:p>
    <w:p w14:paraId="7E14DA9D" w14:textId="2E72BB0F" w:rsidR="00423C1B" w:rsidRP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r>
        <w:rPr>
          <w:rFonts w:ascii="Times New Roman" w:eastAsia="Times New Roman" w:hAnsi="Times New Roman" w:cs="Times New Roman"/>
          <w:color w:val="402A18"/>
          <w:sz w:val="28"/>
          <w:szCs w:val="28"/>
          <w:lang w:val="ru-UA" w:eastAsia="ru-UA"/>
        </w:rPr>
        <w:tab/>
      </w:r>
      <w:r w:rsidRPr="00423C1B">
        <w:rPr>
          <w:rFonts w:ascii="Times New Roman" w:eastAsia="Times New Roman" w:hAnsi="Times New Roman" w:cs="Times New Roman"/>
          <w:color w:val="402A18"/>
          <w:sz w:val="28"/>
          <w:szCs w:val="28"/>
          <w:lang w:val="ru-UA" w:eastAsia="ru-UA"/>
        </w:rPr>
        <w:t>Бар’єри можуть бути </w:t>
      </w:r>
      <w:r w:rsidRPr="00423C1B">
        <w:rPr>
          <w:rFonts w:ascii="Times New Roman" w:eastAsia="Times New Roman" w:hAnsi="Times New Roman" w:cs="Times New Roman"/>
          <w:b/>
          <w:bCs/>
          <w:i/>
          <w:iCs/>
          <w:color w:val="402A18"/>
          <w:sz w:val="28"/>
          <w:szCs w:val="28"/>
          <w:lang w:val="ru-UA" w:eastAsia="ru-UA"/>
        </w:rPr>
        <w:t>соціальними</w:t>
      </w:r>
      <w:r w:rsidRPr="00423C1B">
        <w:rPr>
          <w:rFonts w:ascii="Times New Roman" w:eastAsia="Times New Roman" w:hAnsi="Times New Roman" w:cs="Times New Roman"/>
          <w:i/>
          <w:iCs/>
          <w:color w:val="402A18"/>
          <w:sz w:val="28"/>
          <w:szCs w:val="28"/>
          <w:lang w:val="ru-UA" w:eastAsia="ru-UA"/>
        </w:rPr>
        <w:t>, </w:t>
      </w:r>
      <w:r w:rsidRPr="00423C1B">
        <w:rPr>
          <w:rFonts w:ascii="Times New Roman" w:eastAsia="Times New Roman" w:hAnsi="Times New Roman" w:cs="Times New Roman"/>
          <w:color w:val="402A18"/>
          <w:sz w:val="28"/>
          <w:szCs w:val="28"/>
          <w:lang w:val="ru-UA" w:eastAsia="ru-UA"/>
        </w:rPr>
        <w:t>пов’язані з розбіжністю соціального статусу комунікантів. Наприклад, бар’єри, пов’язані з віковою різницею («батьки нездатні нас зрозуміти»), соціальним і майновим станом («ситий голодного не розуміє»), приналежності до чоловічої чи жіночої статі («тільки жінка може зрозуміти жінку»).</w:t>
      </w:r>
    </w:p>
    <w:p w14:paraId="2ABB92CF" w14:textId="77777777" w:rsid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r>
        <w:rPr>
          <w:rFonts w:ascii="Times New Roman" w:eastAsia="Times New Roman" w:hAnsi="Times New Roman" w:cs="Times New Roman"/>
          <w:color w:val="402A18"/>
          <w:sz w:val="28"/>
          <w:szCs w:val="28"/>
          <w:lang w:val="ru-UA" w:eastAsia="ru-UA"/>
        </w:rPr>
        <w:tab/>
      </w:r>
      <w:r w:rsidRPr="00423C1B">
        <w:rPr>
          <w:rFonts w:ascii="Times New Roman" w:eastAsia="Times New Roman" w:hAnsi="Times New Roman" w:cs="Times New Roman"/>
          <w:color w:val="402A18"/>
          <w:sz w:val="28"/>
          <w:szCs w:val="28"/>
          <w:lang w:val="ru-UA" w:eastAsia="ru-UA"/>
        </w:rPr>
        <w:t>Бар’єри можуть бути пов’язані з </w:t>
      </w:r>
      <w:r w:rsidRPr="00423C1B">
        <w:rPr>
          <w:rFonts w:ascii="Times New Roman" w:eastAsia="Times New Roman" w:hAnsi="Times New Roman" w:cs="Times New Roman"/>
          <w:i/>
          <w:iCs/>
          <w:color w:val="402A18"/>
          <w:sz w:val="28"/>
          <w:szCs w:val="28"/>
          <w:lang w:val="ru-UA" w:eastAsia="ru-UA"/>
        </w:rPr>
        <w:t>розбіжністю в життєвих цілях і потребах. </w:t>
      </w:r>
      <w:r w:rsidRPr="00423C1B">
        <w:rPr>
          <w:rFonts w:ascii="Times New Roman" w:eastAsia="Times New Roman" w:hAnsi="Times New Roman" w:cs="Times New Roman"/>
          <w:color w:val="402A18"/>
          <w:sz w:val="28"/>
          <w:szCs w:val="28"/>
          <w:lang w:val="ru-UA" w:eastAsia="ru-UA"/>
        </w:rPr>
        <w:t xml:space="preserve">Так, люди, в яких є невирішеними проблеми забезпечення мінімального життєвого рівня, мало цікавляться проблемами демократії, свободи, прав особистості. </w:t>
      </w:r>
    </w:p>
    <w:p w14:paraId="67166EFF" w14:textId="77777777" w:rsid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r>
        <w:rPr>
          <w:rFonts w:ascii="Times New Roman" w:eastAsia="Times New Roman" w:hAnsi="Times New Roman" w:cs="Times New Roman"/>
          <w:color w:val="402A18"/>
          <w:sz w:val="28"/>
          <w:szCs w:val="28"/>
          <w:lang w:val="ru-UA" w:eastAsia="ru-UA"/>
        </w:rPr>
        <w:tab/>
      </w:r>
      <w:r w:rsidRPr="00423C1B">
        <w:rPr>
          <w:rFonts w:ascii="Times New Roman" w:eastAsia="Times New Roman" w:hAnsi="Times New Roman" w:cs="Times New Roman"/>
          <w:color w:val="402A18"/>
          <w:sz w:val="28"/>
          <w:szCs w:val="28"/>
          <w:lang w:val="ru-UA" w:eastAsia="ru-UA"/>
        </w:rPr>
        <w:t xml:space="preserve">Для прикладу можна навести відому «піраміду потреб» Абрахама Маслоу: </w:t>
      </w:r>
    </w:p>
    <w:p w14:paraId="2556AB8B" w14:textId="77777777" w:rsid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r w:rsidRPr="00423C1B">
        <w:rPr>
          <w:rFonts w:ascii="Times New Roman" w:eastAsia="Times New Roman" w:hAnsi="Times New Roman" w:cs="Times New Roman"/>
          <w:color w:val="402A18"/>
          <w:sz w:val="28"/>
          <w:szCs w:val="28"/>
          <w:lang w:val="ru-UA" w:eastAsia="ru-UA"/>
        </w:rPr>
        <w:t xml:space="preserve">фізіологічні потреби (їжа, вода, секс, виживання); </w:t>
      </w:r>
    </w:p>
    <w:p w14:paraId="54C09897" w14:textId="77777777" w:rsid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r w:rsidRPr="00423C1B">
        <w:rPr>
          <w:rFonts w:ascii="Times New Roman" w:eastAsia="Times New Roman" w:hAnsi="Times New Roman" w:cs="Times New Roman"/>
          <w:color w:val="402A18"/>
          <w:sz w:val="28"/>
          <w:szCs w:val="28"/>
          <w:lang w:val="ru-UA" w:eastAsia="ru-UA"/>
        </w:rPr>
        <w:t xml:space="preserve">потреби, пов’язані з безпекою (житло, одяг, захист, почуття безпеки); </w:t>
      </w:r>
    </w:p>
    <w:p w14:paraId="611A0B5D" w14:textId="77777777" w:rsid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r w:rsidRPr="00423C1B">
        <w:rPr>
          <w:rFonts w:ascii="Times New Roman" w:eastAsia="Times New Roman" w:hAnsi="Times New Roman" w:cs="Times New Roman"/>
          <w:color w:val="402A18"/>
          <w:sz w:val="28"/>
          <w:szCs w:val="28"/>
          <w:lang w:val="ru-UA" w:eastAsia="ru-UA"/>
        </w:rPr>
        <w:t xml:space="preserve">потреби взаємостосунків (кохання, дружба, приналежність до сім’ї та інших груп); </w:t>
      </w:r>
    </w:p>
    <w:p w14:paraId="1F9FB63D" w14:textId="77777777" w:rsid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r w:rsidRPr="00423C1B">
        <w:rPr>
          <w:rFonts w:ascii="Times New Roman" w:eastAsia="Times New Roman" w:hAnsi="Times New Roman" w:cs="Times New Roman"/>
          <w:color w:val="402A18"/>
          <w:sz w:val="28"/>
          <w:szCs w:val="28"/>
          <w:lang w:val="ru-UA" w:eastAsia="ru-UA"/>
        </w:rPr>
        <w:t xml:space="preserve">потреба в повазі (самоповага, повага з боку інших); </w:t>
      </w:r>
    </w:p>
    <w:p w14:paraId="3CAD473E" w14:textId="77777777" w:rsid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r w:rsidRPr="00423C1B">
        <w:rPr>
          <w:rFonts w:ascii="Times New Roman" w:eastAsia="Times New Roman" w:hAnsi="Times New Roman" w:cs="Times New Roman"/>
          <w:color w:val="402A18"/>
          <w:sz w:val="28"/>
          <w:szCs w:val="28"/>
          <w:lang w:val="ru-UA" w:eastAsia="ru-UA"/>
        </w:rPr>
        <w:t xml:space="preserve">потреби самоактуалізації (самовираження, творчість). </w:t>
      </w:r>
    </w:p>
    <w:p w14:paraId="0113AF20" w14:textId="5E92ECF7" w:rsidR="00423C1B" w:rsidRP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r>
        <w:rPr>
          <w:rFonts w:ascii="Times New Roman" w:eastAsia="Times New Roman" w:hAnsi="Times New Roman" w:cs="Times New Roman"/>
          <w:color w:val="402A18"/>
          <w:sz w:val="28"/>
          <w:szCs w:val="28"/>
          <w:lang w:val="ru-UA" w:eastAsia="ru-UA"/>
        </w:rPr>
        <w:tab/>
      </w:r>
      <w:r w:rsidRPr="00423C1B">
        <w:rPr>
          <w:rFonts w:ascii="Times New Roman" w:eastAsia="Times New Roman" w:hAnsi="Times New Roman" w:cs="Times New Roman"/>
          <w:color w:val="402A18"/>
          <w:sz w:val="28"/>
          <w:szCs w:val="28"/>
          <w:lang w:val="ru-UA" w:eastAsia="ru-UA"/>
        </w:rPr>
        <w:t>За А. Маслоу, людина починає відчувати ті чи інші потреби лише тоді, коли задоволені потреби більш низького рівня.</w:t>
      </w:r>
    </w:p>
    <w:p w14:paraId="6B321C4A" w14:textId="45999898" w:rsidR="00423C1B" w:rsidRP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r>
        <w:rPr>
          <w:rFonts w:ascii="Times New Roman" w:eastAsia="Times New Roman" w:hAnsi="Times New Roman" w:cs="Times New Roman"/>
          <w:color w:val="402A18"/>
          <w:sz w:val="28"/>
          <w:szCs w:val="28"/>
          <w:lang w:val="ru-UA" w:eastAsia="ru-UA"/>
        </w:rPr>
        <w:tab/>
      </w:r>
      <w:r w:rsidRPr="00423C1B">
        <w:rPr>
          <w:rFonts w:ascii="Times New Roman" w:eastAsia="Times New Roman" w:hAnsi="Times New Roman" w:cs="Times New Roman"/>
          <w:color w:val="402A18"/>
          <w:sz w:val="28"/>
          <w:szCs w:val="28"/>
          <w:lang w:val="ru-UA" w:eastAsia="ru-UA"/>
        </w:rPr>
        <w:t>Існують </w:t>
      </w:r>
      <w:r w:rsidRPr="00423C1B">
        <w:rPr>
          <w:rFonts w:ascii="Times New Roman" w:eastAsia="Times New Roman" w:hAnsi="Times New Roman" w:cs="Times New Roman"/>
          <w:b/>
          <w:bCs/>
          <w:i/>
          <w:iCs/>
          <w:color w:val="402A18"/>
          <w:sz w:val="28"/>
          <w:szCs w:val="28"/>
          <w:lang w:val="ru-UA" w:eastAsia="ru-UA"/>
        </w:rPr>
        <w:t>ролеві</w:t>
      </w:r>
      <w:r w:rsidRPr="00423C1B">
        <w:rPr>
          <w:rFonts w:ascii="Times New Roman" w:eastAsia="Times New Roman" w:hAnsi="Times New Roman" w:cs="Times New Roman"/>
          <w:i/>
          <w:iCs/>
          <w:color w:val="402A18"/>
          <w:sz w:val="28"/>
          <w:szCs w:val="28"/>
          <w:lang w:val="ru-UA" w:eastAsia="ru-UA"/>
        </w:rPr>
        <w:t> </w:t>
      </w:r>
      <w:r w:rsidRPr="00423C1B">
        <w:rPr>
          <w:rFonts w:ascii="Times New Roman" w:eastAsia="Times New Roman" w:hAnsi="Times New Roman" w:cs="Times New Roman"/>
          <w:color w:val="402A18"/>
          <w:sz w:val="28"/>
          <w:szCs w:val="28"/>
          <w:lang w:val="ru-UA" w:eastAsia="ru-UA"/>
        </w:rPr>
        <w:t>бар’єри – коли людина не може змінити роль при зміні ситуації спілкування: батько залишається батьком, скільки б років не було його дитині, начальник поводиться з дружиною та дітьми як з підлеглими тощо.</w:t>
      </w:r>
    </w:p>
    <w:p w14:paraId="7C742F87" w14:textId="307FE965" w:rsidR="00423C1B" w:rsidRP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r>
        <w:rPr>
          <w:rFonts w:ascii="Times New Roman" w:eastAsia="Times New Roman" w:hAnsi="Times New Roman" w:cs="Times New Roman"/>
          <w:color w:val="402A18"/>
          <w:sz w:val="28"/>
          <w:szCs w:val="28"/>
          <w:lang w:val="ru-UA" w:eastAsia="ru-UA"/>
        </w:rPr>
        <w:tab/>
      </w:r>
      <w:r w:rsidRPr="00423C1B">
        <w:rPr>
          <w:rFonts w:ascii="Times New Roman" w:eastAsia="Times New Roman" w:hAnsi="Times New Roman" w:cs="Times New Roman"/>
          <w:color w:val="402A18"/>
          <w:sz w:val="28"/>
          <w:szCs w:val="28"/>
          <w:lang w:val="ru-UA" w:eastAsia="ru-UA"/>
        </w:rPr>
        <w:t>Дуже сильні </w:t>
      </w:r>
      <w:r w:rsidRPr="00423C1B">
        <w:rPr>
          <w:rFonts w:ascii="Times New Roman" w:eastAsia="Times New Roman" w:hAnsi="Times New Roman" w:cs="Times New Roman"/>
          <w:i/>
          <w:iCs/>
          <w:color w:val="402A18"/>
          <w:sz w:val="28"/>
          <w:szCs w:val="28"/>
          <w:lang w:val="ru-UA" w:eastAsia="ru-UA"/>
        </w:rPr>
        <w:t>різні психологічні </w:t>
      </w:r>
      <w:r w:rsidRPr="00423C1B">
        <w:rPr>
          <w:rFonts w:ascii="Times New Roman" w:eastAsia="Times New Roman" w:hAnsi="Times New Roman" w:cs="Times New Roman"/>
          <w:color w:val="402A18"/>
          <w:sz w:val="28"/>
          <w:szCs w:val="28"/>
          <w:lang w:val="ru-UA" w:eastAsia="ru-UA"/>
        </w:rPr>
        <w:t>бар’єри, пов’язані з особливостями психіки студентів, із суттєвими розбіжностями психології комунікантів.</w:t>
      </w:r>
    </w:p>
    <w:p w14:paraId="105041F6" w14:textId="0DE7DAA4" w:rsidR="00423C1B" w:rsidRPr="00423C1B" w:rsidRDefault="00423C1B" w:rsidP="00423C1B">
      <w:pPr>
        <w:spacing w:after="300" w:line="240" w:lineRule="auto"/>
        <w:jc w:val="both"/>
        <w:rPr>
          <w:rFonts w:ascii="Times New Roman" w:eastAsia="Times New Roman" w:hAnsi="Times New Roman" w:cs="Times New Roman"/>
          <w:color w:val="402A18"/>
          <w:sz w:val="28"/>
          <w:szCs w:val="28"/>
          <w:lang w:val="ru-UA" w:eastAsia="ru-UA"/>
        </w:rPr>
      </w:pPr>
      <w:r>
        <w:rPr>
          <w:rFonts w:ascii="Times New Roman" w:eastAsia="Times New Roman" w:hAnsi="Times New Roman" w:cs="Times New Roman"/>
          <w:color w:val="402A18"/>
          <w:sz w:val="28"/>
          <w:szCs w:val="28"/>
          <w:lang w:val="uk-UA" w:eastAsia="ru-UA"/>
        </w:rPr>
        <w:tab/>
        <w:t>Маса</w:t>
      </w:r>
      <w:r w:rsidRPr="00423C1B">
        <w:rPr>
          <w:rFonts w:ascii="Times New Roman" w:eastAsia="Times New Roman" w:hAnsi="Times New Roman" w:cs="Times New Roman"/>
          <w:color w:val="402A18"/>
          <w:sz w:val="28"/>
          <w:szCs w:val="28"/>
          <w:lang w:val="ru-UA" w:eastAsia="ru-UA"/>
        </w:rPr>
        <w:t xml:space="preserve"> факторів здатна ввести нас в оману. Дуже часто нас обманює перше враження про людину, ми її зустрічаємо по одягу, розуміємо в міру свого сприйняття, приймаємо бажане за дійсне і судимо по собі, інакше кажучи, хочемо ми того чи ні, але ми мимовільно приписуємо людині, її словам чи поступкам певний смисл і зміст, які часто розходяться з дійсністю... </w:t>
      </w:r>
      <w:r>
        <w:rPr>
          <w:rFonts w:ascii="Times New Roman" w:eastAsia="Times New Roman" w:hAnsi="Times New Roman" w:cs="Times New Roman"/>
          <w:color w:val="402A18"/>
          <w:sz w:val="28"/>
          <w:szCs w:val="28"/>
          <w:lang w:val="ru-UA" w:eastAsia="ru-UA"/>
        </w:rPr>
        <w:tab/>
      </w:r>
      <w:r w:rsidRPr="00423C1B">
        <w:rPr>
          <w:rFonts w:ascii="Times New Roman" w:eastAsia="Times New Roman" w:hAnsi="Times New Roman" w:cs="Times New Roman"/>
          <w:color w:val="402A18"/>
          <w:sz w:val="28"/>
          <w:szCs w:val="28"/>
          <w:lang w:val="ru-UA" w:eastAsia="ru-UA"/>
        </w:rPr>
        <w:t xml:space="preserve">На побутовому рівні це проявляється, наприклад, в інерції оцінок усіх дій людини, про яку ми вже маємо якусь інформацію: все поступки «поганої» людини ми побачимо лише як негативні, усі поступки «гарної» людини уявляються правильними. Нова інформація, яку людина отримує, накладається на попередню, при цьому образ людини, що існував до цього моменту, суттєво заважає об’єктивному сприйняттю цієї людини – діє так званий «ефект ореолу» </w:t>
      </w:r>
    </w:p>
    <w:p w14:paraId="71FF2DD7" w14:textId="12BB7888" w:rsidR="00423C1B" w:rsidRPr="00423C1B" w:rsidRDefault="00423C1B" w:rsidP="00423C1B">
      <w:pPr>
        <w:spacing w:after="300" w:line="240" w:lineRule="auto"/>
        <w:jc w:val="both"/>
        <w:rPr>
          <w:rFonts w:ascii="Times New Roman" w:eastAsia="Times New Roman" w:hAnsi="Times New Roman" w:cs="Times New Roman"/>
          <w:color w:val="402A18"/>
          <w:sz w:val="28"/>
          <w:szCs w:val="28"/>
          <w:lang w:val="ru-UA" w:eastAsia="ru-UA"/>
        </w:rPr>
      </w:pPr>
      <w:r>
        <w:rPr>
          <w:rFonts w:ascii="Times New Roman" w:eastAsia="Times New Roman" w:hAnsi="Times New Roman" w:cs="Times New Roman"/>
          <w:color w:val="402A18"/>
          <w:sz w:val="28"/>
          <w:szCs w:val="28"/>
          <w:lang w:val="ru-UA" w:eastAsia="ru-UA"/>
        </w:rPr>
        <w:lastRenderedPageBreak/>
        <w:tab/>
      </w:r>
      <w:r w:rsidRPr="00423C1B">
        <w:rPr>
          <w:rFonts w:ascii="Times New Roman" w:eastAsia="Times New Roman" w:hAnsi="Times New Roman" w:cs="Times New Roman"/>
          <w:color w:val="402A18"/>
          <w:sz w:val="28"/>
          <w:szCs w:val="28"/>
          <w:lang w:val="ru-UA" w:eastAsia="ru-UA"/>
        </w:rPr>
        <w:t>Одним з найбільш виразних психологічних бар’єрів у міжкультурному спілкуванні є етноцентризм – сприйняття й інтерпретація поведінки інших через призму своєї культури, що виражається в оцінці розбіжностей між етнічними групами за принципом «ми кращі, вони – гірші». Етноцентризм – це тенденція використання стандартів своєї групи для оцінки інших груп, розташовуючи свою групу на вершині ієрархії й розглядаючи інші групи як такі, стоять значно нижче.</w:t>
      </w:r>
    </w:p>
    <w:p w14:paraId="1FC79333" w14:textId="3D0BC0AA" w:rsidR="00423C1B" w:rsidRP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r>
        <w:rPr>
          <w:rFonts w:ascii="Times New Roman" w:eastAsia="Times New Roman" w:hAnsi="Times New Roman" w:cs="Times New Roman"/>
          <w:color w:val="402A18"/>
          <w:sz w:val="28"/>
          <w:szCs w:val="28"/>
          <w:lang w:val="ru-UA" w:eastAsia="ru-UA"/>
        </w:rPr>
        <w:tab/>
      </w:r>
      <w:r w:rsidRPr="00423C1B">
        <w:rPr>
          <w:rFonts w:ascii="Times New Roman" w:eastAsia="Times New Roman" w:hAnsi="Times New Roman" w:cs="Times New Roman"/>
          <w:color w:val="402A18"/>
          <w:sz w:val="28"/>
          <w:szCs w:val="28"/>
          <w:lang w:val="ru-UA" w:eastAsia="ru-UA"/>
        </w:rPr>
        <w:t>Існують і </w:t>
      </w:r>
      <w:r w:rsidRPr="00423C1B">
        <w:rPr>
          <w:rFonts w:ascii="Times New Roman" w:eastAsia="Times New Roman" w:hAnsi="Times New Roman" w:cs="Times New Roman"/>
          <w:i/>
          <w:iCs/>
          <w:color w:val="402A18"/>
          <w:sz w:val="28"/>
          <w:szCs w:val="28"/>
          <w:lang w:val="ru-UA" w:eastAsia="ru-UA"/>
        </w:rPr>
        <w:t>когнітивні </w:t>
      </w:r>
      <w:r w:rsidRPr="00423C1B">
        <w:rPr>
          <w:rFonts w:ascii="Times New Roman" w:eastAsia="Times New Roman" w:hAnsi="Times New Roman" w:cs="Times New Roman"/>
          <w:color w:val="402A18"/>
          <w:sz w:val="28"/>
          <w:szCs w:val="28"/>
          <w:lang w:val="ru-UA" w:eastAsia="ru-UA"/>
        </w:rPr>
        <w:t>бар’єри, тобто бар’єри, що випливають з особливостей дії мислиннєвих механізмів людини. Когнітивні бар’єри пов’язані з наявністю певних мислиннєвих стереотипів у свідомості людини, тих чи інших прийомів мислення, способів отримання висновків із того, що вона спостерігає.</w:t>
      </w:r>
    </w:p>
    <w:p w14:paraId="01DD5775" w14:textId="77777777" w:rsid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p>
    <w:p w14:paraId="42B03109" w14:textId="3C897AA0" w:rsidR="00423C1B" w:rsidRP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r w:rsidRPr="00423C1B">
        <w:rPr>
          <w:rFonts w:ascii="Times New Roman" w:eastAsia="Times New Roman" w:hAnsi="Times New Roman" w:cs="Times New Roman"/>
          <w:color w:val="402A18"/>
          <w:sz w:val="28"/>
          <w:szCs w:val="28"/>
          <w:lang w:val="ru-UA" w:eastAsia="ru-UA"/>
        </w:rPr>
        <w:t>Бар’єрами в спілкуванні можуть виступати </w:t>
      </w:r>
      <w:r w:rsidRPr="00423C1B">
        <w:rPr>
          <w:rFonts w:ascii="Times New Roman" w:eastAsia="Times New Roman" w:hAnsi="Times New Roman" w:cs="Times New Roman"/>
          <w:i/>
          <w:iCs/>
          <w:color w:val="402A18"/>
          <w:sz w:val="28"/>
          <w:szCs w:val="28"/>
          <w:lang w:val="ru-UA" w:eastAsia="ru-UA"/>
        </w:rPr>
        <w:t>психологічні риси особистості.</w:t>
      </w:r>
    </w:p>
    <w:p w14:paraId="7C56031A" w14:textId="0132108A" w:rsidR="00423C1B" w:rsidRP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r>
        <w:rPr>
          <w:rFonts w:ascii="Times New Roman" w:eastAsia="Times New Roman" w:hAnsi="Times New Roman" w:cs="Times New Roman"/>
          <w:i/>
          <w:iCs/>
          <w:color w:val="402A18"/>
          <w:sz w:val="28"/>
          <w:szCs w:val="28"/>
          <w:lang w:val="ru-UA" w:eastAsia="ru-UA"/>
        </w:rPr>
        <w:tab/>
      </w:r>
      <w:r w:rsidRPr="00423C1B">
        <w:rPr>
          <w:rFonts w:ascii="Times New Roman" w:eastAsia="Times New Roman" w:hAnsi="Times New Roman" w:cs="Times New Roman"/>
          <w:i/>
          <w:iCs/>
          <w:color w:val="402A18"/>
          <w:sz w:val="28"/>
          <w:szCs w:val="28"/>
          <w:lang w:val="ru-UA" w:eastAsia="ru-UA"/>
        </w:rPr>
        <w:t>Оптиміст </w:t>
      </w:r>
      <w:r w:rsidRPr="00423C1B">
        <w:rPr>
          <w:rFonts w:ascii="Times New Roman" w:eastAsia="Times New Roman" w:hAnsi="Times New Roman" w:cs="Times New Roman"/>
          <w:color w:val="402A18"/>
          <w:sz w:val="28"/>
          <w:szCs w:val="28"/>
          <w:lang w:val="ru-UA" w:eastAsia="ru-UA"/>
        </w:rPr>
        <w:t>бачить те ж, що й </w:t>
      </w:r>
      <w:r w:rsidRPr="00423C1B">
        <w:rPr>
          <w:rFonts w:ascii="Times New Roman" w:eastAsia="Times New Roman" w:hAnsi="Times New Roman" w:cs="Times New Roman"/>
          <w:i/>
          <w:iCs/>
          <w:color w:val="402A18"/>
          <w:sz w:val="28"/>
          <w:szCs w:val="28"/>
          <w:lang w:val="ru-UA" w:eastAsia="ru-UA"/>
        </w:rPr>
        <w:t>песиміст, </w:t>
      </w:r>
      <w:r w:rsidRPr="00423C1B">
        <w:rPr>
          <w:rFonts w:ascii="Times New Roman" w:eastAsia="Times New Roman" w:hAnsi="Times New Roman" w:cs="Times New Roman"/>
          <w:color w:val="402A18"/>
          <w:sz w:val="28"/>
          <w:szCs w:val="28"/>
          <w:lang w:val="ru-UA" w:eastAsia="ru-UA"/>
        </w:rPr>
        <w:t>але розуміє побачене інакше. Оптимісту важко спілкуватися з песимістом, холерику – з меланхоліком, екстраверту – з інтравертом.</w:t>
      </w:r>
    </w:p>
    <w:p w14:paraId="0AC1FEAD" w14:textId="78B12B63" w:rsidR="00423C1B" w:rsidRPr="00423C1B" w:rsidRDefault="00423C1B" w:rsidP="00423C1B">
      <w:pPr>
        <w:spacing w:after="0" w:line="240" w:lineRule="auto"/>
        <w:jc w:val="both"/>
        <w:rPr>
          <w:rFonts w:ascii="Times New Roman" w:eastAsia="Times New Roman" w:hAnsi="Times New Roman" w:cs="Times New Roman"/>
          <w:color w:val="402A18"/>
          <w:sz w:val="28"/>
          <w:szCs w:val="28"/>
          <w:lang w:val="ru-UA" w:eastAsia="ru-UA"/>
        </w:rPr>
      </w:pPr>
      <w:r>
        <w:rPr>
          <w:rFonts w:ascii="Times New Roman" w:eastAsia="Times New Roman" w:hAnsi="Times New Roman" w:cs="Times New Roman"/>
          <w:color w:val="402A18"/>
          <w:sz w:val="28"/>
          <w:szCs w:val="28"/>
          <w:lang w:val="ru-UA" w:eastAsia="ru-UA"/>
        </w:rPr>
        <w:tab/>
      </w:r>
      <w:r w:rsidRPr="00423C1B">
        <w:rPr>
          <w:rFonts w:ascii="Times New Roman" w:eastAsia="Times New Roman" w:hAnsi="Times New Roman" w:cs="Times New Roman"/>
          <w:color w:val="402A18"/>
          <w:sz w:val="28"/>
          <w:szCs w:val="28"/>
          <w:lang w:val="ru-UA" w:eastAsia="ru-UA"/>
        </w:rPr>
        <w:t>На спілкування також впливає така психологічна якість особистості як </w:t>
      </w:r>
      <w:r w:rsidRPr="00423C1B">
        <w:rPr>
          <w:rFonts w:ascii="Times New Roman" w:eastAsia="Times New Roman" w:hAnsi="Times New Roman" w:cs="Times New Roman"/>
          <w:i/>
          <w:iCs/>
          <w:color w:val="402A18"/>
          <w:sz w:val="28"/>
          <w:szCs w:val="28"/>
          <w:lang w:val="ru-UA" w:eastAsia="ru-UA"/>
        </w:rPr>
        <w:t>самоконтроль. </w:t>
      </w:r>
      <w:r w:rsidRPr="00423C1B">
        <w:rPr>
          <w:rFonts w:ascii="Times New Roman" w:eastAsia="Times New Roman" w:hAnsi="Times New Roman" w:cs="Times New Roman"/>
          <w:color w:val="402A18"/>
          <w:sz w:val="28"/>
          <w:szCs w:val="28"/>
          <w:lang w:val="ru-UA" w:eastAsia="ru-UA"/>
        </w:rPr>
        <w:t>Люди з високим самоконтролем орієнтовані на саморозкриття, намагаються дізнатися все про співрозмовника, зрозуміти його, а також краще визначити фальш і обман у спілкуванні. Вони легко навчаються й соціально адаптивні в нових умовах, добре контролюють свої емоції та здатні справляти потрібне враження.</w:t>
      </w:r>
    </w:p>
    <w:p w14:paraId="4F53DAA2" w14:textId="13EA50A0" w:rsidR="00423C1B" w:rsidRPr="00423C1B" w:rsidRDefault="00F833EF" w:rsidP="00423C1B">
      <w:pPr>
        <w:spacing w:after="0" w:line="240" w:lineRule="auto"/>
        <w:jc w:val="both"/>
        <w:rPr>
          <w:rFonts w:ascii="Times New Roman" w:eastAsia="Times New Roman" w:hAnsi="Times New Roman" w:cs="Times New Roman"/>
          <w:color w:val="402A18"/>
          <w:sz w:val="28"/>
          <w:szCs w:val="28"/>
          <w:lang w:val="ru-UA" w:eastAsia="ru-UA"/>
        </w:rPr>
      </w:pPr>
      <w:r>
        <w:rPr>
          <w:rFonts w:ascii="Times New Roman" w:eastAsia="Times New Roman" w:hAnsi="Times New Roman" w:cs="Times New Roman"/>
          <w:color w:val="402A18"/>
          <w:sz w:val="28"/>
          <w:szCs w:val="28"/>
          <w:lang w:val="ru-UA" w:eastAsia="ru-UA"/>
        </w:rPr>
        <w:tab/>
      </w:r>
      <w:r w:rsidR="00423C1B" w:rsidRPr="00423C1B">
        <w:rPr>
          <w:rFonts w:ascii="Times New Roman" w:eastAsia="Times New Roman" w:hAnsi="Times New Roman" w:cs="Times New Roman"/>
          <w:color w:val="402A18"/>
          <w:sz w:val="28"/>
          <w:szCs w:val="28"/>
          <w:lang w:val="ru-UA" w:eastAsia="ru-UA"/>
        </w:rPr>
        <w:t>Існують і чисто </w:t>
      </w:r>
      <w:r w:rsidR="00423C1B" w:rsidRPr="00423C1B">
        <w:rPr>
          <w:rFonts w:ascii="Times New Roman" w:eastAsia="Times New Roman" w:hAnsi="Times New Roman" w:cs="Times New Roman"/>
          <w:b/>
          <w:bCs/>
          <w:i/>
          <w:iCs/>
          <w:color w:val="402A18"/>
          <w:sz w:val="28"/>
          <w:szCs w:val="28"/>
          <w:lang w:val="ru-UA" w:eastAsia="ru-UA"/>
        </w:rPr>
        <w:t>мовні бар’єри</w:t>
      </w:r>
      <w:r w:rsidR="00423C1B" w:rsidRPr="00423C1B">
        <w:rPr>
          <w:rFonts w:ascii="Times New Roman" w:eastAsia="Times New Roman" w:hAnsi="Times New Roman" w:cs="Times New Roman"/>
          <w:i/>
          <w:iCs/>
          <w:color w:val="402A18"/>
          <w:sz w:val="28"/>
          <w:szCs w:val="28"/>
          <w:lang w:val="ru-UA" w:eastAsia="ru-UA"/>
        </w:rPr>
        <w:t> </w:t>
      </w:r>
      <w:r w:rsidR="00423C1B" w:rsidRPr="00423C1B">
        <w:rPr>
          <w:rFonts w:ascii="Times New Roman" w:eastAsia="Times New Roman" w:hAnsi="Times New Roman" w:cs="Times New Roman"/>
          <w:color w:val="402A18"/>
          <w:sz w:val="28"/>
          <w:szCs w:val="28"/>
          <w:lang w:val="ru-UA" w:eastAsia="ru-UA"/>
        </w:rPr>
        <w:t>у спілкуванні – коли співрозмовники спілкуються різними мовами, або рівень володіння мовою в них є різним. Мовний бар’єр виникає й тоді, коли співрозмовники не турбуються про взаєморозуміння і вживають звичну для них лексику, не зважаючи на те, чи знає її партнер по спілкуванню. Одні й ті ж слова можуть по-різному розумітися комунікантами, деякі слова можуть бути зрозумілими одним і не зрозумілими іншим комунікантам, або розумітися інакше. Мовний бар’єр часто створюють наукові терміни, слова іншомовного походження, жаргонізми.</w:t>
      </w:r>
    </w:p>
    <w:p w14:paraId="5EF763FF" w14:textId="77777777" w:rsidR="00423C1B" w:rsidRPr="00423C1B" w:rsidRDefault="00423C1B" w:rsidP="00423C1B">
      <w:pPr>
        <w:spacing w:after="300" w:line="240" w:lineRule="auto"/>
        <w:jc w:val="both"/>
        <w:rPr>
          <w:rFonts w:ascii="Times New Roman" w:eastAsia="Times New Roman" w:hAnsi="Times New Roman" w:cs="Times New Roman"/>
          <w:color w:val="402A18"/>
          <w:sz w:val="28"/>
          <w:szCs w:val="28"/>
          <w:lang w:val="ru-UA" w:eastAsia="ru-UA"/>
        </w:rPr>
      </w:pPr>
      <w:r w:rsidRPr="00423C1B">
        <w:rPr>
          <w:rFonts w:ascii="Times New Roman" w:eastAsia="Times New Roman" w:hAnsi="Times New Roman" w:cs="Times New Roman"/>
          <w:color w:val="402A18"/>
          <w:sz w:val="28"/>
          <w:szCs w:val="28"/>
          <w:lang w:val="ru-UA" w:eastAsia="ru-UA"/>
        </w:rPr>
        <w:t>Знання комунікативних бар’єрів й уміння їх долати – найважливіша складова уміння ефективного спілкування.</w:t>
      </w:r>
    </w:p>
    <w:p w14:paraId="13D19D18" w14:textId="3DACA08E" w:rsidR="00704EFF" w:rsidRPr="00423C1B" w:rsidRDefault="00704EFF" w:rsidP="00423C1B">
      <w:pPr>
        <w:rPr>
          <w:rFonts w:ascii="Times New Roman" w:hAnsi="Times New Roman" w:cs="Times New Roman"/>
          <w:sz w:val="28"/>
          <w:szCs w:val="28"/>
          <w:lang w:val="ru-UA"/>
        </w:rPr>
      </w:pPr>
    </w:p>
    <w:sectPr w:rsidR="00704EFF" w:rsidRPr="00423C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3C"/>
    <w:rsid w:val="00423C1B"/>
    <w:rsid w:val="00704EFF"/>
    <w:rsid w:val="008D6E76"/>
    <w:rsid w:val="00DB2F3C"/>
    <w:rsid w:val="00ED5DD9"/>
    <w:rsid w:val="00F833EF"/>
    <w:rsid w:val="00FA25D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F500"/>
  <w15:chartTrackingRefBased/>
  <w15:docId w15:val="{9A319356-09C4-41C5-BAF1-7EC91CA4D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E76"/>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04EFF"/>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a4">
    <w:name w:val="Emphasis"/>
    <w:basedOn w:val="a0"/>
    <w:uiPriority w:val="20"/>
    <w:qFormat/>
    <w:rsid w:val="00704EFF"/>
    <w:rPr>
      <w:i/>
      <w:iCs/>
    </w:rPr>
  </w:style>
  <w:style w:type="paragraph" w:customStyle="1" w:styleId="western">
    <w:name w:val="western"/>
    <w:basedOn w:val="a"/>
    <w:rsid w:val="008D6E76"/>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styleId="a5">
    <w:name w:val="Hyperlink"/>
    <w:basedOn w:val="a0"/>
    <w:uiPriority w:val="99"/>
    <w:semiHidden/>
    <w:unhideWhenUsed/>
    <w:rsid w:val="008D6E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49021">
      <w:bodyDiv w:val="1"/>
      <w:marLeft w:val="0"/>
      <w:marRight w:val="0"/>
      <w:marTop w:val="0"/>
      <w:marBottom w:val="0"/>
      <w:divBdr>
        <w:top w:val="none" w:sz="0" w:space="0" w:color="auto"/>
        <w:left w:val="none" w:sz="0" w:space="0" w:color="auto"/>
        <w:bottom w:val="none" w:sz="0" w:space="0" w:color="auto"/>
        <w:right w:val="none" w:sz="0" w:space="0" w:color="auto"/>
      </w:divBdr>
    </w:div>
    <w:div w:id="502935100">
      <w:bodyDiv w:val="1"/>
      <w:marLeft w:val="0"/>
      <w:marRight w:val="0"/>
      <w:marTop w:val="0"/>
      <w:marBottom w:val="0"/>
      <w:divBdr>
        <w:top w:val="none" w:sz="0" w:space="0" w:color="auto"/>
        <w:left w:val="none" w:sz="0" w:space="0" w:color="auto"/>
        <w:bottom w:val="none" w:sz="0" w:space="0" w:color="auto"/>
        <w:right w:val="none" w:sz="0" w:space="0" w:color="auto"/>
      </w:divBdr>
    </w:div>
    <w:div w:id="1014573792">
      <w:bodyDiv w:val="1"/>
      <w:marLeft w:val="0"/>
      <w:marRight w:val="0"/>
      <w:marTop w:val="0"/>
      <w:marBottom w:val="0"/>
      <w:divBdr>
        <w:top w:val="none" w:sz="0" w:space="0" w:color="auto"/>
        <w:left w:val="none" w:sz="0" w:space="0" w:color="auto"/>
        <w:bottom w:val="none" w:sz="0" w:space="0" w:color="auto"/>
        <w:right w:val="none" w:sz="0" w:space="0" w:color="auto"/>
      </w:divBdr>
    </w:div>
    <w:div w:id="132247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697</Words>
  <Characters>3975</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Головня</dc:creator>
  <cp:keywords/>
  <dc:description/>
  <cp:lastModifiedBy>Саша Головня</cp:lastModifiedBy>
  <cp:revision>5</cp:revision>
  <dcterms:created xsi:type="dcterms:W3CDTF">2022-12-01T19:26:00Z</dcterms:created>
  <dcterms:modified xsi:type="dcterms:W3CDTF">2022-12-08T16:16:00Z</dcterms:modified>
</cp:coreProperties>
</file>