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C50C" w14:textId="5CBF7699" w:rsidR="008F7FF4" w:rsidRPr="00A12E13" w:rsidRDefault="008F7FF4" w:rsidP="00C96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Платона та Аристотеля? 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суть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принципова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систем Платона та Аристотеля?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Платона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Аристотеля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науки?</w:t>
      </w:r>
    </w:p>
    <w:p w14:paraId="38E99D05" w14:textId="1E9499C3" w:rsidR="008F7FF4" w:rsidRPr="00A12E13" w:rsidRDefault="008F7FF4" w:rsidP="008F7FF4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риблизно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половини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V ст. і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істотна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частина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IV до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нашої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ери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це період, який</w:t>
      </w:r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визначається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як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класичний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Він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характеризується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впливом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діяльністю</w:t>
      </w:r>
      <w:proofErr w:type="spellEnd"/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Сократа, Платона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та </w:t>
      </w:r>
      <w:r w:rsidRPr="008F7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Аристотеля.</w:t>
      </w:r>
    </w:p>
    <w:p w14:paraId="54B46BBA" w14:textId="77777777" w:rsidR="008F7FF4" w:rsidRPr="00A12E13" w:rsidRDefault="008F7FF4" w:rsidP="008F7FF4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Платон: </w:t>
      </w:r>
    </w:p>
    <w:p w14:paraId="438A4305" w14:textId="26BF87FB" w:rsidR="008F7FF4" w:rsidRPr="00A12E13" w:rsidRDefault="008F7FF4" w:rsidP="008F7FF4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Вважав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яку ми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сприймаємо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наші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чуття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є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лише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тінню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існують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світі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"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gram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Вважав</w:t>
      </w:r>
      <w:proofErr w:type="spellEnd"/>
      <w:proofErr w:type="gram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світ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змінюється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непостійний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оскільки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відображає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своїх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змінах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Вірив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є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необхідною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частиною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реальності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і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розглядав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її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акту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потенції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Він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вважав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кожний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об'єкт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свою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власну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внутрішню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ціль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яка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визначає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його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розвиток.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Вірив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може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бути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отримане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тільки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розум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інтелект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не через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чуттєвий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досвід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Він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підтримував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справжнє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полягає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усвідомленні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Платон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п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ропонував концепцію "філософського царювання", де ідеальний лідер повинен бути філософом-мудрецем.</w:t>
      </w:r>
    </w:p>
    <w:p w14:paraId="1BBC4989" w14:textId="04697EC8" w:rsidR="008F7FF4" w:rsidRPr="00A12E13" w:rsidRDefault="008F7FF4" w:rsidP="008F7FF4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Аристотель: </w:t>
      </w:r>
    </w:p>
    <w:p w14:paraId="55CF8FD5" w14:textId="5F9C0CA5" w:rsidR="008F7FF4" w:rsidRPr="00A12E13" w:rsidRDefault="008F7FF4" w:rsidP="008F7FF4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Вважав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справжня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існує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конкретних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об'єктах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не 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формах. Для Аристотеля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субстанції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конкретні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існування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є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фундаментальними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Вірив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є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необхідною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частиною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реальності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і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розглядав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її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акту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потенції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Він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вважав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кожний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об'єкт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свою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власну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внутрішню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ціль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яка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визначає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його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розвиток.Розвинув</w:t>
      </w:r>
      <w:proofErr w:type="spellEnd"/>
      <w:proofErr w:type="gram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може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бути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отримане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чуттєвий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досвід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вивчення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конкретних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об'єктів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Для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нього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досвід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спостереження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були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ключовими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джерелами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знань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Підтримував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конституційної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монархії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але також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визнавав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можливість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існування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інших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таких як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аристократія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політія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демократія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1646FB5" w14:textId="7B52FE29" w:rsidR="005A599B" w:rsidRPr="00A12E13" w:rsidRDefault="005A599B" w:rsidP="005A599B">
      <w:pPr>
        <w:shd w:val="clear" w:color="auto" w:fill="FFFFFF"/>
        <w:spacing w:after="225" w:line="332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Теорія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Платона мала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вплив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суспільство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філософію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Платона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полягає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тому,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реальністю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яку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сприймаємо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нашими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чуттями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існує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вища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є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об’єктивними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вічними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викликала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глибокі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роздуми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філософів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того часу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змусила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їх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звернути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увагу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проблему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почали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вивчати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тільки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природу речей, але й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їх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сутність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Вони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звернулися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різних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методів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пізнання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таких як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інтуїція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раціональний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аналіз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філософський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діалог.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Також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Платона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вплинули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розвиток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суспільства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Його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державний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устрій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соціальну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справедливість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мали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великий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вплив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подальший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розвиток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політичної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державою.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Особливо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впливовим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діалог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«Держава»,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якому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Платон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розглядає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проблему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становлення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ідеального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державного устрою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ролі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філософів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ньому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діалог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канонічним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текстом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політичної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філософії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був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подальшому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як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теоретичний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фундамент для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створення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ідеальних</w:t>
      </w:r>
      <w:proofErr w:type="spellEnd"/>
      <w:r w:rsidRPr="00A12E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держав.</w:t>
      </w:r>
    </w:p>
    <w:p w14:paraId="7F60DCFE" w14:textId="77777777" w:rsidR="005A599B" w:rsidRPr="00A12E13" w:rsidRDefault="005A599B" w:rsidP="005A599B">
      <w:pPr>
        <w:shd w:val="clear" w:color="auto" w:fill="FFFFFF"/>
        <w:spacing w:after="225" w:line="332" w:lineRule="atLeast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концепції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Платона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допоміжним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вплив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математичного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ідеї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поняття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математики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існують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мовби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паралельно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чуттєвого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Філософія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 Аристотеля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ґрунтується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природознавстві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якому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відношення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ідей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речей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дещо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інші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особливості.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>Аристотель залишив після себе величезну творчу спадщину, яку можна розділити на вісім труп: праці з логіки, загально філософські, фізичні, біологічні, психологічні, етичні, економічні та мистецтвознавчі.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Дітищем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Аристотеля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Наука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викладена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вченим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ряді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об`єднані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стильною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"Органон" ("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"). Головною ж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працею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є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Метафізика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". При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Аристотеля слова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метафізика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Pr="00A12E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13F84327" w14:textId="4B9F7AFB" w:rsidR="00C96A44" w:rsidRPr="00A12E13" w:rsidRDefault="008F7FF4" w:rsidP="00B66B01">
      <w:pPr>
        <w:shd w:val="clear" w:color="auto" w:fill="FFFFFF"/>
        <w:spacing w:after="225" w:line="332" w:lineRule="atLeast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Арістотель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мав великий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науки,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У XVI і XVII ст.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Арістотеля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читались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братських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школах і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Києво-Могилянській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колегії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Йосифа Кононовича-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Горбацького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Інокентія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Гізеля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.).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XVIII ст.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Арістотеля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викладалось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Київській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Феофана Прокоповича,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Мануїла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Козачинського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Георгія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Кониського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.) і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десятках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семінарій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слов'янському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—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, Переяслав).</w:t>
      </w:r>
      <w:r w:rsidR="005A599B" w:rsidRPr="00A12E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3155F" w14:textId="64F5B179" w:rsidR="005A599B" w:rsidRPr="00A12E13" w:rsidRDefault="005A599B" w:rsidP="005A59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  <w:lang w:val="uk-UA"/>
        </w:rPr>
        <w:t xml:space="preserve">Розкрийте зміст та взаємозв'язок понять: матеріалізм, ідеалізм; агностицизм, гносеологічний оптимізм; атеїзм, теїзм, деїзм, пантеїзм;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lang w:val="uk-UA"/>
        </w:rPr>
        <w:t>космоцентризм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lang w:val="uk-UA"/>
        </w:rPr>
        <w:t>теоцентризм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  <w:lang w:val="uk-UA"/>
        </w:rPr>
        <w:t xml:space="preserve">, антропоцентризм; раціоналізм, емпіризм.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Зазначте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позицій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ближче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до ваших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09AB5519" w14:textId="77777777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Матеріалі́зм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— один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 так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зване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природа,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матеріальне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первинним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а дух,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ідеальне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вторинним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0DBAC" w14:textId="3F055744" w:rsidR="005A599B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Ідеалізм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— один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принципом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речей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матеріальне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ідеальне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духовна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світовий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тощо</w:t>
      </w:r>
      <w:proofErr w:type="spellEnd"/>
    </w:p>
    <w:p w14:paraId="30C51590" w14:textId="7021033E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гностицизм</w:t>
      </w:r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</w:t>
      </w:r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ідеалістичне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філософське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вчення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заперечує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пізнання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об'єктивного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законів</w:t>
      </w:r>
      <w:proofErr w:type="spellEnd"/>
    </w:p>
    <w:p w14:paraId="52A013E3" w14:textId="59F6FEC1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Гносеологічний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послідовники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принципову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3520560C" w14:textId="586DEC09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Теї́зм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релігійним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переконанням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надприродної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яка створила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6A73227D" w14:textId="77777777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теїзму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відмежовуються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:</w:t>
      </w:r>
    </w:p>
    <w:p w14:paraId="0CD334EF" w14:textId="77777777" w:rsidR="00C96A44" w:rsidRPr="00A12E13" w:rsidRDefault="00C96A44" w:rsidP="00C96A44">
      <w:pPr>
        <w:pStyle w:val="a4"/>
        <w:spacing w:before="0" w:beforeAutospacing="0" w:after="300" w:afterAutospacing="0"/>
        <w:jc w:val="both"/>
        <w:rPr>
          <w:sz w:val="28"/>
          <w:szCs w:val="28"/>
        </w:rPr>
      </w:pPr>
      <w:proofErr w:type="spellStart"/>
      <w:r w:rsidRPr="00A12E13">
        <w:rPr>
          <w:sz w:val="28"/>
          <w:szCs w:val="28"/>
        </w:rPr>
        <w:t>Теїзм</w:t>
      </w:r>
      <w:proofErr w:type="spellEnd"/>
      <w:r w:rsidRPr="00A12E13">
        <w:rPr>
          <w:sz w:val="28"/>
          <w:szCs w:val="28"/>
        </w:rPr>
        <w:t xml:space="preserve"> (</w:t>
      </w:r>
      <w:proofErr w:type="spellStart"/>
      <w:r w:rsidRPr="00A12E13">
        <w:rPr>
          <w:sz w:val="28"/>
          <w:szCs w:val="28"/>
        </w:rPr>
        <w:t>грец</w:t>
      </w:r>
      <w:proofErr w:type="spellEnd"/>
      <w:r w:rsidRPr="00A12E13">
        <w:rPr>
          <w:sz w:val="28"/>
          <w:szCs w:val="28"/>
        </w:rPr>
        <w:t xml:space="preserve">. </w:t>
      </w:r>
      <w:proofErr w:type="spellStart"/>
      <w:r w:rsidRPr="00A12E13">
        <w:rPr>
          <w:sz w:val="28"/>
          <w:szCs w:val="28"/>
        </w:rPr>
        <w:t>Tbeos</w:t>
      </w:r>
      <w:proofErr w:type="spellEnd"/>
      <w:r w:rsidRPr="00A12E13">
        <w:rPr>
          <w:sz w:val="28"/>
          <w:szCs w:val="28"/>
        </w:rPr>
        <w:t xml:space="preserve"> - Бог) – </w:t>
      </w:r>
      <w:proofErr w:type="spellStart"/>
      <w:r w:rsidRPr="00A12E13">
        <w:rPr>
          <w:sz w:val="28"/>
          <w:szCs w:val="28"/>
        </w:rPr>
        <w:t>релігійний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світогляд</w:t>
      </w:r>
      <w:proofErr w:type="spellEnd"/>
      <w:r w:rsidRPr="00A12E13">
        <w:rPr>
          <w:sz w:val="28"/>
          <w:szCs w:val="28"/>
        </w:rPr>
        <w:t xml:space="preserve">, в </w:t>
      </w:r>
      <w:proofErr w:type="spellStart"/>
      <w:r w:rsidRPr="00A12E13">
        <w:rPr>
          <w:sz w:val="28"/>
          <w:szCs w:val="28"/>
        </w:rPr>
        <w:t>основі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якого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лежить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розуміння</w:t>
      </w:r>
      <w:proofErr w:type="spellEnd"/>
      <w:r w:rsidRPr="00A12E13">
        <w:rPr>
          <w:sz w:val="28"/>
          <w:szCs w:val="28"/>
        </w:rPr>
        <w:t xml:space="preserve"> Бога як особи, </w:t>
      </w:r>
      <w:proofErr w:type="spellStart"/>
      <w:r w:rsidRPr="00A12E13">
        <w:rPr>
          <w:sz w:val="28"/>
          <w:szCs w:val="28"/>
        </w:rPr>
        <w:t>що</w:t>
      </w:r>
      <w:proofErr w:type="spellEnd"/>
      <w:r w:rsidRPr="00A12E13">
        <w:rPr>
          <w:sz w:val="28"/>
          <w:szCs w:val="28"/>
        </w:rPr>
        <w:t xml:space="preserve"> створила </w:t>
      </w:r>
      <w:proofErr w:type="spellStart"/>
      <w:r w:rsidRPr="00A12E13">
        <w:rPr>
          <w:sz w:val="28"/>
          <w:szCs w:val="28"/>
        </w:rPr>
        <w:t>світ</w:t>
      </w:r>
      <w:proofErr w:type="spellEnd"/>
      <w:r w:rsidRPr="00A12E13">
        <w:rPr>
          <w:sz w:val="28"/>
          <w:szCs w:val="28"/>
        </w:rPr>
        <w:t xml:space="preserve"> і </w:t>
      </w:r>
      <w:proofErr w:type="spellStart"/>
      <w:r w:rsidRPr="00A12E13">
        <w:rPr>
          <w:sz w:val="28"/>
          <w:szCs w:val="28"/>
        </w:rPr>
        <w:t>втручається</w:t>
      </w:r>
      <w:proofErr w:type="spellEnd"/>
      <w:r w:rsidRPr="00A12E13">
        <w:rPr>
          <w:sz w:val="28"/>
          <w:szCs w:val="28"/>
        </w:rPr>
        <w:t xml:space="preserve"> в </w:t>
      </w:r>
      <w:proofErr w:type="spellStart"/>
      <w:r w:rsidRPr="00A12E13">
        <w:rPr>
          <w:sz w:val="28"/>
          <w:szCs w:val="28"/>
        </w:rPr>
        <w:t>його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події</w:t>
      </w:r>
      <w:proofErr w:type="spellEnd"/>
      <w:r w:rsidRPr="00A12E13">
        <w:rPr>
          <w:sz w:val="28"/>
          <w:szCs w:val="28"/>
        </w:rPr>
        <w:t>.</w:t>
      </w:r>
    </w:p>
    <w:p w14:paraId="1DA2787D" w14:textId="77777777" w:rsidR="00C96A44" w:rsidRPr="00A12E13" w:rsidRDefault="00C96A44" w:rsidP="00C96A44">
      <w:pPr>
        <w:pStyle w:val="a4"/>
        <w:spacing w:before="0" w:beforeAutospacing="0" w:after="300" w:afterAutospacing="0"/>
        <w:jc w:val="both"/>
        <w:rPr>
          <w:sz w:val="28"/>
          <w:szCs w:val="28"/>
        </w:rPr>
      </w:pPr>
      <w:proofErr w:type="spellStart"/>
      <w:r w:rsidRPr="00A12E13">
        <w:rPr>
          <w:sz w:val="28"/>
          <w:szCs w:val="28"/>
        </w:rPr>
        <w:t>Деїзм</w:t>
      </w:r>
      <w:proofErr w:type="spellEnd"/>
      <w:r w:rsidRPr="00A12E13">
        <w:rPr>
          <w:sz w:val="28"/>
          <w:szCs w:val="28"/>
        </w:rPr>
        <w:t xml:space="preserve"> (лат. </w:t>
      </w:r>
      <w:proofErr w:type="spellStart"/>
      <w:r w:rsidRPr="00A12E13">
        <w:rPr>
          <w:sz w:val="28"/>
          <w:szCs w:val="28"/>
        </w:rPr>
        <w:t>Deus</w:t>
      </w:r>
      <w:proofErr w:type="spellEnd"/>
      <w:r w:rsidRPr="00A12E13">
        <w:rPr>
          <w:sz w:val="28"/>
          <w:szCs w:val="28"/>
        </w:rPr>
        <w:t xml:space="preserve"> - Бог) – принцип </w:t>
      </w:r>
      <w:proofErr w:type="spellStart"/>
      <w:r w:rsidRPr="00A12E13">
        <w:rPr>
          <w:sz w:val="28"/>
          <w:szCs w:val="28"/>
        </w:rPr>
        <w:t>філософських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вчень</w:t>
      </w:r>
      <w:proofErr w:type="spellEnd"/>
      <w:r w:rsidRPr="00A12E13">
        <w:rPr>
          <w:sz w:val="28"/>
          <w:szCs w:val="28"/>
        </w:rPr>
        <w:t xml:space="preserve">, </w:t>
      </w:r>
      <w:proofErr w:type="spellStart"/>
      <w:r w:rsidRPr="00A12E13">
        <w:rPr>
          <w:sz w:val="28"/>
          <w:szCs w:val="28"/>
        </w:rPr>
        <w:t>які</w:t>
      </w:r>
      <w:proofErr w:type="spellEnd"/>
      <w:r w:rsidRPr="00A12E13">
        <w:rPr>
          <w:sz w:val="28"/>
          <w:szCs w:val="28"/>
        </w:rPr>
        <w:t xml:space="preserve">, </w:t>
      </w:r>
      <w:proofErr w:type="spellStart"/>
      <w:r w:rsidRPr="00A12E13">
        <w:rPr>
          <w:sz w:val="28"/>
          <w:szCs w:val="28"/>
        </w:rPr>
        <w:t>визнаючи</w:t>
      </w:r>
      <w:proofErr w:type="spellEnd"/>
      <w:r w:rsidRPr="00A12E13">
        <w:rPr>
          <w:sz w:val="28"/>
          <w:szCs w:val="28"/>
        </w:rPr>
        <w:t xml:space="preserve"> Бога </w:t>
      </w:r>
      <w:proofErr w:type="spellStart"/>
      <w:r w:rsidRPr="00A12E13">
        <w:rPr>
          <w:sz w:val="28"/>
          <w:szCs w:val="28"/>
        </w:rPr>
        <w:t>першопричиною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світу</w:t>
      </w:r>
      <w:proofErr w:type="spellEnd"/>
      <w:r w:rsidRPr="00A12E13">
        <w:rPr>
          <w:sz w:val="28"/>
          <w:szCs w:val="28"/>
        </w:rPr>
        <w:t xml:space="preserve">, </w:t>
      </w:r>
      <w:proofErr w:type="spellStart"/>
      <w:r w:rsidRPr="00A12E13">
        <w:rPr>
          <w:sz w:val="28"/>
          <w:szCs w:val="28"/>
        </w:rPr>
        <w:t>заперечували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його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втручання</w:t>
      </w:r>
      <w:proofErr w:type="spellEnd"/>
      <w:r w:rsidRPr="00A12E13">
        <w:rPr>
          <w:sz w:val="28"/>
          <w:szCs w:val="28"/>
        </w:rPr>
        <w:t xml:space="preserve"> в </w:t>
      </w:r>
      <w:proofErr w:type="spellStart"/>
      <w:r w:rsidRPr="00A12E13">
        <w:rPr>
          <w:sz w:val="28"/>
          <w:szCs w:val="28"/>
        </w:rPr>
        <w:t>явища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природи</w:t>
      </w:r>
      <w:proofErr w:type="spellEnd"/>
      <w:r w:rsidRPr="00A12E13">
        <w:rPr>
          <w:sz w:val="28"/>
          <w:szCs w:val="28"/>
        </w:rPr>
        <w:t xml:space="preserve"> та в </w:t>
      </w:r>
      <w:proofErr w:type="spellStart"/>
      <w:r w:rsidRPr="00A12E13">
        <w:rPr>
          <w:sz w:val="28"/>
          <w:szCs w:val="28"/>
        </w:rPr>
        <w:t>хід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подій</w:t>
      </w:r>
      <w:proofErr w:type="spellEnd"/>
      <w:r w:rsidRPr="00A12E13">
        <w:rPr>
          <w:sz w:val="28"/>
          <w:szCs w:val="28"/>
        </w:rPr>
        <w:t xml:space="preserve">. </w:t>
      </w:r>
      <w:proofErr w:type="spellStart"/>
      <w:r w:rsidRPr="00A12E13">
        <w:rPr>
          <w:sz w:val="28"/>
          <w:szCs w:val="28"/>
        </w:rPr>
        <w:t>Деїзм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виник</w:t>
      </w:r>
      <w:proofErr w:type="spellEnd"/>
      <w:r w:rsidRPr="00A12E13">
        <w:rPr>
          <w:sz w:val="28"/>
          <w:szCs w:val="28"/>
        </w:rPr>
        <w:t xml:space="preserve"> у ХУІІ ст. в </w:t>
      </w:r>
      <w:proofErr w:type="spellStart"/>
      <w:r w:rsidRPr="00A12E13">
        <w:rPr>
          <w:sz w:val="28"/>
          <w:szCs w:val="28"/>
        </w:rPr>
        <w:t>Англії</w:t>
      </w:r>
      <w:proofErr w:type="spellEnd"/>
      <w:r w:rsidRPr="00A12E13">
        <w:rPr>
          <w:sz w:val="28"/>
          <w:szCs w:val="28"/>
        </w:rPr>
        <w:t>.</w:t>
      </w:r>
    </w:p>
    <w:p w14:paraId="7CF507B5" w14:textId="77777777" w:rsidR="00C96A44" w:rsidRPr="00A12E13" w:rsidRDefault="00C96A44" w:rsidP="00C96A44">
      <w:pPr>
        <w:pStyle w:val="a4"/>
        <w:spacing w:before="0" w:beforeAutospacing="0" w:after="300" w:afterAutospacing="0"/>
        <w:jc w:val="both"/>
        <w:rPr>
          <w:sz w:val="28"/>
          <w:szCs w:val="28"/>
        </w:rPr>
      </w:pPr>
      <w:proofErr w:type="spellStart"/>
      <w:r w:rsidRPr="00A12E13">
        <w:rPr>
          <w:sz w:val="28"/>
          <w:szCs w:val="28"/>
        </w:rPr>
        <w:lastRenderedPageBreak/>
        <w:t>Пантеїзм</w:t>
      </w:r>
      <w:proofErr w:type="spellEnd"/>
      <w:r w:rsidRPr="00A12E13">
        <w:rPr>
          <w:sz w:val="28"/>
          <w:szCs w:val="28"/>
        </w:rPr>
        <w:t xml:space="preserve"> </w:t>
      </w:r>
      <w:proofErr w:type="gramStart"/>
      <w:r w:rsidRPr="00A12E13">
        <w:rPr>
          <w:sz w:val="28"/>
          <w:szCs w:val="28"/>
        </w:rPr>
        <w:t xml:space="preserve">( </w:t>
      </w:r>
      <w:proofErr w:type="spellStart"/>
      <w:r w:rsidRPr="00A12E13">
        <w:rPr>
          <w:sz w:val="28"/>
          <w:szCs w:val="28"/>
        </w:rPr>
        <w:t>грец</w:t>
      </w:r>
      <w:proofErr w:type="spellEnd"/>
      <w:proofErr w:type="gramEnd"/>
      <w:r w:rsidRPr="00A12E13">
        <w:rPr>
          <w:sz w:val="28"/>
          <w:szCs w:val="28"/>
        </w:rPr>
        <w:t xml:space="preserve">. Усе і Бог) – </w:t>
      </w:r>
      <w:proofErr w:type="spellStart"/>
      <w:r w:rsidRPr="00A12E13">
        <w:rPr>
          <w:sz w:val="28"/>
          <w:szCs w:val="28"/>
        </w:rPr>
        <w:t>філософсько-релігійне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вчення</w:t>
      </w:r>
      <w:proofErr w:type="spellEnd"/>
      <w:r w:rsidRPr="00A12E13">
        <w:rPr>
          <w:sz w:val="28"/>
          <w:szCs w:val="28"/>
        </w:rPr>
        <w:t xml:space="preserve">, за </w:t>
      </w:r>
      <w:proofErr w:type="spellStart"/>
      <w:r w:rsidRPr="00A12E13">
        <w:rPr>
          <w:sz w:val="28"/>
          <w:szCs w:val="28"/>
        </w:rPr>
        <w:t>яким</w:t>
      </w:r>
      <w:proofErr w:type="spellEnd"/>
      <w:r w:rsidRPr="00A12E13">
        <w:rPr>
          <w:sz w:val="28"/>
          <w:szCs w:val="28"/>
        </w:rPr>
        <w:t xml:space="preserve"> Бог є </w:t>
      </w:r>
      <w:proofErr w:type="spellStart"/>
      <w:r w:rsidRPr="00A12E13">
        <w:rPr>
          <w:sz w:val="28"/>
          <w:szCs w:val="28"/>
        </w:rPr>
        <w:t>безособовим</w:t>
      </w:r>
      <w:proofErr w:type="spellEnd"/>
      <w:r w:rsidRPr="00A12E13">
        <w:rPr>
          <w:sz w:val="28"/>
          <w:szCs w:val="28"/>
        </w:rPr>
        <w:t xml:space="preserve"> началом, </w:t>
      </w:r>
      <w:proofErr w:type="spellStart"/>
      <w:r w:rsidRPr="00A12E13">
        <w:rPr>
          <w:sz w:val="28"/>
          <w:szCs w:val="28"/>
        </w:rPr>
        <w:t>розлитим</w:t>
      </w:r>
      <w:proofErr w:type="spellEnd"/>
      <w:r w:rsidRPr="00A12E13">
        <w:rPr>
          <w:sz w:val="28"/>
          <w:szCs w:val="28"/>
        </w:rPr>
        <w:t xml:space="preserve"> по </w:t>
      </w:r>
      <w:proofErr w:type="spellStart"/>
      <w:r w:rsidRPr="00A12E13">
        <w:rPr>
          <w:sz w:val="28"/>
          <w:szCs w:val="28"/>
        </w:rPr>
        <w:t>всій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природі</w:t>
      </w:r>
      <w:proofErr w:type="spellEnd"/>
      <w:r w:rsidRPr="00A12E13">
        <w:rPr>
          <w:sz w:val="28"/>
          <w:szCs w:val="28"/>
        </w:rPr>
        <w:t xml:space="preserve">, </w:t>
      </w:r>
      <w:proofErr w:type="spellStart"/>
      <w:r w:rsidRPr="00A12E13">
        <w:rPr>
          <w:sz w:val="28"/>
          <w:szCs w:val="28"/>
        </w:rPr>
        <w:t>тотожним</w:t>
      </w:r>
      <w:proofErr w:type="spellEnd"/>
      <w:r w:rsidRPr="00A12E13">
        <w:rPr>
          <w:sz w:val="28"/>
          <w:szCs w:val="28"/>
        </w:rPr>
        <w:t xml:space="preserve"> з нею </w:t>
      </w:r>
      <w:proofErr w:type="spellStart"/>
      <w:r w:rsidRPr="00A12E13">
        <w:rPr>
          <w:sz w:val="28"/>
          <w:szCs w:val="28"/>
        </w:rPr>
        <w:t>або</w:t>
      </w:r>
      <w:proofErr w:type="spellEnd"/>
      <w:r w:rsidRPr="00A12E13">
        <w:rPr>
          <w:sz w:val="28"/>
          <w:szCs w:val="28"/>
        </w:rPr>
        <w:t xml:space="preserve"> з </w:t>
      </w:r>
      <w:proofErr w:type="spellStart"/>
      <w:r w:rsidRPr="00A12E13">
        <w:rPr>
          <w:sz w:val="28"/>
          <w:szCs w:val="28"/>
        </w:rPr>
        <w:t>її</w:t>
      </w:r>
      <w:proofErr w:type="spellEnd"/>
      <w:r w:rsidRPr="00A12E13">
        <w:rPr>
          <w:sz w:val="28"/>
          <w:szCs w:val="28"/>
        </w:rPr>
        <w:t xml:space="preserve"> </w:t>
      </w:r>
      <w:proofErr w:type="spellStart"/>
      <w:r w:rsidRPr="00A12E13">
        <w:rPr>
          <w:sz w:val="28"/>
          <w:szCs w:val="28"/>
        </w:rPr>
        <w:t>субстанцією</w:t>
      </w:r>
      <w:proofErr w:type="spellEnd"/>
      <w:r w:rsidRPr="00A12E13">
        <w:rPr>
          <w:sz w:val="28"/>
          <w:szCs w:val="28"/>
        </w:rPr>
        <w:t>.</w:t>
      </w:r>
    </w:p>
    <w:p w14:paraId="26EA22F6" w14:textId="77777777" w:rsidR="00A12E13" w:rsidRPr="00A12E13" w:rsidRDefault="00C96A44" w:rsidP="00B66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Космоцентризм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котрого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могутність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всесильність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нескінченність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сил - Космосу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все суще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Космосу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космічних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(дана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Стародавньої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2E13">
        <w:rPr>
          <w:rFonts w:ascii="Times New Roman" w:hAnsi="Times New Roman" w:cs="Times New Roman"/>
          <w:sz w:val="28"/>
          <w:szCs w:val="28"/>
        </w:rPr>
        <w:t>Індії,Стародавньому</w:t>
      </w:r>
      <w:proofErr w:type="spellEnd"/>
      <w:proofErr w:type="gram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Китаю,іншим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країнам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Сходу, а також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6327CC" w14:textId="77777777" w:rsidR="00A12E13" w:rsidRPr="00A12E13" w:rsidRDefault="00C96A44" w:rsidP="00B66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Теоцентризм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тип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сущого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зрозумілої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надприродної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Бога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поширений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середньовічній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2A7D1FC" w14:textId="7F4BF0D5" w:rsidR="00C96A44" w:rsidRPr="00A12E13" w:rsidRDefault="00C96A44" w:rsidP="00B66B01">
      <w:p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Антропоцентризм - тип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центрі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Європа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епохи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Відродження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нового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новітнього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).</w:t>
      </w:r>
    </w:p>
    <w:p w14:paraId="34AF88FC" w14:textId="61E12271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Раціоналізм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протиставляє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2E13">
        <w:rPr>
          <w:rFonts w:ascii="Times New Roman" w:hAnsi="Times New Roman" w:cs="Times New Roman"/>
          <w:sz w:val="28"/>
          <w:szCs w:val="28"/>
        </w:rPr>
        <w:t>містиці,теології</w:t>
      </w:r>
      <w:proofErr w:type="spellEnd"/>
      <w:proofErr w:type="gram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ірраціоналізмові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переконання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люд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пізнавати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сус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>пільства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0138A538" w14:textId="14F33BEB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Емпіризм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противагу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раціоналізмові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чуттєвий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br/>
      </w:r>
    </w:p>
    <w:p w14:paraId="2930BECF" w14:textId="23E32CB1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схильний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емпіризму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гносеологічного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оптимізму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переконання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базуються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наше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спостереженнях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досвіді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Емпіризм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чуттєвих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сприйнять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0EC3CEED" w14:textId="5D3650C0" w:rsidR="00C96A44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Гносеологічний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мою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віру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те,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науку ми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значного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вірю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здобуття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об'єктивного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систематичне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42672666" w14:textId="39FA7FDF" w:rsidR="004760E3" w:rsidRPr="00A12E13" w:rsidRDefault="00C96A44" w:rsidP="00C96A44">
      <w:p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На мою думку,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емпіричний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метод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досягненні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науки,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допомагаючи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природу та себе.</w:t>
      </w:r>
    </w:p>
    <w:p w14:paraId="0E9C1259" w14:textId="77777777" w:rsidR="00A12E13" w:rsidRPr="00A12E13" w:rsidRDefault="00A12E13" w:rsidP="00C96A44">
      <w:pPr>
        <w:rPr>
          <w:rFonts w:ascii="Times New Roman" w:hAnsi="Times New Roman" w:cs="Times New Roman"/>
          <w:sz w:val="28"/>
          <w:szCs w:val="28"/>
        </w:rPr>
      </w:pPr>
    </w:p>
    <w:p w14:paraId="449E1CF3" w14:textId="6BC13475" w:rsidR="004760E3" w:rsidRPr="00A12E13" w:rsidRDefault="004760E3" w:rsidP="004760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?</w:t>
      </w:r>
    </w:p>
    <w:p w14:paraId="4DDBE361" w14:textId="0209C000" w:rsidR="004760E3" w:rsidRPr="00A12E13" w:rsidRDefault="004760E3" w:rsidP="00476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Міфологічний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першим типом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самосвідомість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родового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Фантастичні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появу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про початки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добувати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людей і тварин,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чудеса, про все “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надприродне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міфологію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r w:rsidRPr="00A12E13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оповідями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відбувалося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давні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міфологічні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часи</w:t>
      </w:r>
      <w:proofErr w:type="spellEnd"/>
    </w:p>
    <w:p w14:paraId="5BDE7634" w14:textId="78E82458" w:rsidR="004760E3" w:rsidRPr="00A12E13" w:rsidRDefault="004760E3" w:rsidP="00476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тисячоліть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невід’ємною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релігія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r w:rsidRPr="00A12E1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вузькому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релігія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поглядів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lastRenderedPageBreak/>
        <w:t>пов’язаних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надприродної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Бога (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) як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першотворця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й управителя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безмежну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також і над людьми. </w:t>
      </w:r>
      <w:r w:rsidRPr="00A12E1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учасна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наука доводить,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релігійний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другим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розпаду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родового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класового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259095EA" w14:textId="6963C42D" w:rsidR="00B66B01" w:rsidRPr="00A12E13" w:rsidRDefault="004760E3" w:rsidP="00476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як теоретична форма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міфології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типові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кожному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систем.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ілософія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не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віру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довести й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обгрунтувати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теоретичною формою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формою теоретичного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7B9026C6" w14:textId="4028C181" w:rsidR="00B66B01" w:rsidRPr="00A12E13" w:rsidRDefault="00B66B01" w:rsidP="00476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світогляду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комплексом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технологічний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трансформації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такими як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революції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рухи,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спонукають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погляди на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7FD05C51" w14:textId="6DACCCAE" w:rsidR="00B66B01" w:rsidRPr="00A12E13" w:rsidRDefault="00B66B01" w:rsidP="00B66B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антиномічності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"чистого"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?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принципова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"чистим" та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практичним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?</w:t>
      </w:r>
    </w:p>
    <w:p w14:paraId="15603177" w14:textId="09C8A1F9" w:rsidR="00B66B01" w:rsidRPr="00A12E13" w:rsidRDefault="00B66B01" w:rsidP="00B66B01">
      <w:p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антиномічності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"чистого"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критики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самообмеження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ідеалістичній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Канта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"Критику чистого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Антиномії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A12E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твердженнях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26F9CF03" w14:textId="26565F00" w:rsidR="00B66B01" w:rsidRPr="00A12E13" w:rsidRDefault="00B66B01" w:rsidP="00B66B01">
      <w:pPr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антиномій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Канта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вічності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нескінченності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6FDA824C" w14:textId="77777777" w:rsidR="00B66B01" w:rsidRPr="00A12E13" w:rsidRDefault="00B66B01" w:rsidP="00B66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73FD9784" w14:textId="147887E6" w:rsidR="00B66B01" w:rsidRPr="00A12E13" w:rsidRDefault="00B66B01" w:rsidP="00B66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Суперечність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: З одного боку, аргумент "для початку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підстава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приводить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Бога як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першопричини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боку, аргумент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також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4476478E" w14:textId="0F2A5B68" w:rsidR="00B66B01" w:rsidRPr="00A12E13" w:rsidRDefault="00B66B01" w:rsidP="00B66B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E1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практичний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німецьким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Іммануїлом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Кантом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філософській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для теоретичного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Практичний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питаннях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морально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обґрунтованих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>.</w:t>
      </w:r>
    </w:p>
    <w:p w14:paraId="05BD3FC5" w14:textId="48441573" w:rsidR="00A12E13" w:rsidRPr="00A12E13" w:rsidRDefault="00B66B01" w:rsidP="00B66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Втім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строго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слідувати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критичній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інтонації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Канта, –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різниці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чистим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практичним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Розум,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стикається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антиномічностю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універсалій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підступитися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розсудку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універсалії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розімкнути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" для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"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неприхованість</w:t>
      </w:r>
      <w:proofErr w:type="spellEnd"/>
      <w:proofErr w:type="gramStart"/>
      <w:r w:rsidRPr="00A12E13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живого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– до практики,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не два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вступають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суперечність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але один –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смиренно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безсилля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нездатність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остаточне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інстанції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A1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E1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</w:p>
    <w:p w14:paraId="037090A7" w14:textId="77777777" w:rsidR="00A12E13" w:rsidRPr="00A12E13" w:rsidRDefault="00A12E13" w:rsidP="00A12E13">
      <w:pPr>
        <w:ind w:left="360"/>
        <w:rPr>
          <w:rFonts w:ascii="Times New Roman" w:hAnsi="Times New Roman" w:cs="Times New Roman"/>
          <w:sz w:val="28"/>
          <w:szCs w:val="28"/>
        </w:rPr>
      </w:pPr>
      <w:r w:rsidRPr="00A12E13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Використані ДЖЕРЕЛА:</w:t>
      </w:r>
      <w:r w:rsidRPr="00A12E13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5" w:history="1">
        <w:r w:rsidRPr="00A12E13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https://uk.wikipedia.org/wiki/%D0%90%D1%80%D1%96%D1%81%D1%82%D0%BE%D1%82%D0%B5%D0%BB%D1%8C</w:t>
        </w:r>
      </w:hyperlink>
    </w:p>
    <w:p w14:paraId="106A1443" w14:textId="77777777" w:rsidR="00A12E13" w:rsidRPr="00A12E13" w:rsidRDefault="00A12E13" w:rsidP="00A12E13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12E13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https://ru.osvita.ua/vnz/reports/philosophy/13107/</w:t>
        </w:r>
      </w:hyperlink>
    </w:p>
    <w:p w14:paraId="50980DA7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7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https://tureligious.com.ua/teoriia-piznannia-platona</w:t>
        </w:r>
      </w:hyperlink>
    </w:p>
    <w:p w14:paraId="7450AC29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8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https://uk.wikipedia.org/wiki/%D0%9C%D0%B0%D1%82%D0%B5%D1%80%D1%96%D0%B0%D0%BB%D1%96%D0%B7%D0%BC</w:t>
        </w:r>
      </w:hyperlink>
    </w:p>
    <w:p w14:paraId="55E9A1B2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9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https://uk.wikipedia.org/wiki/%D0%86%D0%B4%D0%B5%D0%B0%D0%BB%D1%96%D0%B7%D0%BC</w:t>
        </w:r>
      </w:hyperlink>
    </w:p>
    <w:p w14:paraId="7EED0CCA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0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https://uk.wikipedia.org/wiki/%D0%A2%D0%B5%D1%97%D0%B7%D0%BC</w:t>
        </w:r>
      </w:hyperlink>
    </w:p>
    <w:p w14:paraId="6710AD7F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1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https://allreferat.com.ua/ru/filosofiya/kontrolnaya/4831/page/2</w:t>
        </w:r>
      </w:hyperlink>
    </w:p>
    <w:p w14:paraId="05DCD4C1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2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https://evnuir.vnu.edu.ua/bitstream/123456789/4889/4/Istor_typy_svitogl.pdf</w:t>
        </w:r>
      </w:hyperlink>
    </w:p>
    <w:p w14:paraId="03DAAE02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3" w:history="1">
        <w:r w:rsidRPr="00A12E13">
          <w:rPr>
            <w:rStyle w:val="a5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eastAsia="ru-RU"/>
            <w14:ligatures w14:val="none"/>
          </w:rPr>
          <w:t>https://visnik.knute.edu.ua/files/2017/02/7.pdf</w:t>
        </w:r>
      </w:hyperlink>
    </w:p>
    <w:p w14:paraId="7752378C" w14:textId="77777777" w:rsidR="00A12E13" w:rsidRPr="00A12E13" w:rsidRDefault="00A12E13" w:rsidP="00A12E1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034A23" w14:textId="2829F83D" w:rsidR="00A12E13" w:rsidRPr="00A12E13" w:rsidRDefault="00A12E13" w:rsidP="00B66B01">
      <w:pPr>
        <w:rPr>
          <w:rFonts w:ascii="Times New Roman" w:hAnsi="Times New Roman" w:cs="Times New Roman"/>
          <w:sz w:val="28"/>
          <w:szCs w:val="28"/>
        </w:rPr>
      </w:pPr>
    </w:p>
    <w:sectPr w:rsidR="00A12E13" w:rsidRPr="00A12E13" w:rsidSect="008F7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0EF9"/>
    <w:multiLevelType w:val="hybridMultilevel"/>
    <w:tmpl w:val="E86AD0A8"/>
    <w:lvl w:ilvl="0" w:tplc="4F6A04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3E02"/>
    <w:multiLevelType w:val="multilevel"/>
    <w:tmpl w:val="08C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5E3031"/>
    <w:multiLevelType w:val="hybridMultilevel"/>
    <w:tmpl w:val="4B4C1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21842">
    <w:abstractNumId w:val="2"/>
  </w:num>
  <w:num w:numId="2" w16cid:durableId="754211070">
    <w:abstractNumId w:val="1"/>
  </w:num>
  <w:num w:numId="3" w16cid:durableId="173862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47"/>
    <w:rsid w:val="004760E3"/>
    <w:rsid w:val="005A599B"/>
    <w:rsid w:val="007B3C47"/>
    <w:rsid w:val="008F7FF4"/>
    <w:rsid w:val="00A12E13"/>
    <w:rsid w:val="00B13888"/>
    <w:rsid w:val="00B66B01"/>
    <w:rsid w:val="00C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B87A"/>
  <w15:chartTrackingRefBased/>
  <w15:docId w15:val="{28F095B4-ADB2-43BC-A9C2-BA8C811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F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A59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2%D0%B5%D1%80%D1%96%D0%B0%D0%BB%D1%96%D0%B7%D0%BC" TargetMode="External"/><Relationship Id="rId13" Type="http://schemas.openxmlformats.org/officeDocument/2006/relationships/hyperlink" Target="https://visnik.knute.edu.ua/files/2017/02/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eligious.com.ua/teoriia-piznannia-platona" TargetMode="External"/><Relationship Id="rId12" Type="http://schemas.openxmlformats.org/officeDocument/2006/relationships/hyperlink" Target="https://evnuir.vnu.edu.ua/bitstream/123456789/4889/4/Istor_typy_svitog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osvita.ua/vnz/reports/philosophy/13107/" TargetMode="External"/><Relationship Id="rId11" Type="http://schemas.openxmlformats.org/officeDocument/2006/relationships/hyperlink" Target="https://allreferat.com.ua/ru/filosofiya/kontrolnaya/4831/page/2" TargetMode="External"/><Relationship Id="rId5" Type="http://schemas.openxmlformats.org/officeDocument/2006/relationships/hyperlink" Target="https://uk.wikipedia.org/wiki/%D0%90%D1%80%D1%96%D1%81%D1%82%D0%BE%D1%82%D0%B5%D0%BB%D1%8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A2%D0%B5%D1%97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4%D0%B5%D0%B0%D0%BB%D1%96%D0%B7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2023-12-13T16:57:00Z</dcterms:created>
  <dcterms:modified xsi:type="dcterms:W3CDTF">2023-12-13T17:48:00Z</dcterms:modified>
</cp:coreProperties>
</file>