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35CD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091F2C">
        <w:rPr>
          <w:rFonts w:ascii="Georgia" w:hAnsi="Georgia"/>
          <w:color w:val="FF0000"/>
        </w:rPr>
        <w:t>9</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w:t>
      </w:r>
      <w:r w:rsidRPr="004F6726">
        <w:rPr>
          <w:rFonts w:ascii="Georgia" w:hAnsi="Georgia"/>
        </w:rPr>
        <w:lastRenderedPageBreak/>
        <w:t>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5A7A9685"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20592880" w:rsidR="00E611F5" w:rsidRDefault="00F32AD4" w:rsidP="00E611F5">
      <w:pPr>
        <w:pStyle w:val="ListParagraph"/>
        <w:numPr>
          <w:ilvl w:val="0"/>
          <w:numId w:val="4"/>
        </w:numPr>
        <w:rPr>
          <w:rFonts w:ascii="Georgia" w:hAnsi="Georgia"/>
        </w:rPr>
      </w:pPr>
      <w:r>
        <w:rPr>
          <w:rFonts w:ascii="Georgia" w:hAnsi="Georgia"/>
        </w:rPr>
        <w:t>End-to-End Machine Learning Project</w:t>
      </w:r>
    </w:p>
    <w:p w14:paraId="26D551EF" w14:textId="77777777" w:rsidR="00DE7562" w:rsidRPr="00DE7562" w:rsidRDefault="00DE7562" w:rsidP="00DE7562">
      <w:pPr>
        <w:rPr>
          <w:rFonts w:ascii="Georgia" w:hAnsi="Georgia"/>
        </w:rPr>
      </w:pPr>
    </w:p>
    <w:p w14:paraId="2D24C8C9" w14:textId="23CBEBAA"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What is Machine Learning? (January 19)</w:t>
      </w:r>
    </w:p>
    <w:p w14:paraId="5D5901C8" w14:textId="6686C859"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lastRenderedPageBreak/>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lastRenderedPageBreak/>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w:t>
      </w:r>
      <w:r w:rsidRPr="009B284C">
        <w:rPr>
          <w:rFonts w:ascii="Georgia" w:hAnsi="Georgia"/>
        </w:rPr>
        <w:lastRenderedPageBreak/>
        <w:t xml:space="preserve">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32B38"/>
    <w:rsid w:val="00033EB8"/>
    <w:rsid w:val="00063EAB"/>
    <w:rsid w:val="00070BB1"/>
    <w:rsid w:val="000727BE"/>
    <w:rsid w:val="00082100"/>
    <w:rsid w:val="00091F2C"/>
    <w:rsid w:val="000D0C7C"/>
    <w:rsid w:val="000D359A"/>
    <w:rsid w:val="00141474"/>
    <w:rsid w:val="00197C8C"/>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8F5348"/>
    <w:rsid w:val="00910649"/>
    <w:rsid w:val="00914DB4"/>
    <w:rsid w:val="009661FC"/>
    <w:rsid w:val="0097241E"/>
    <w:rsid w:val="00975EA8"/>
    <w:rsid w:val="00992126"/>
    <w:rsid w:val="009962D2"/>
    <w:rsid w:val="00A06286"/>
    <w:rsid w:val="00A146F9"/>
    <w:rsid w:val="00A54856"/>
    <w:rsid w:val="00AA5395"/>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A4311"/>
    <w:rsid w:val="00CF2512"/>
    <w:rsid w:val="00CF418D"/>
    <w:rsid w:val="00D40AC3"/>
    <w:rsid w:val="00D45C7F"/>
    <w:rsid w:val="00D461B1"/>
    <w:rsid w:val="00D512C0"/>
    <w:rsid w:val="00D82AEB"/>
    <w:rsid w:val="00D87FD6"/>
    <w:rsid w:val="00DB6DF7"/>
    <w:rsid w:val="00DE4066"/>
    <w:rsid w:val="00DE7562"/>
    <w:rsid w:val="00E27D0F"/>
    <w:rsid w:val="00E42B85"/>
    <w:rsid w:val="00E611F5"/>
    <w:rsid w:val="00EA72D9"/>
    <w:rsid w:val="00EB1CBA"/>
    <w:rsid w:val="00EC5CEE"/>
    <w:rsid w:val="00EC7540"/>
    <w:rsid w:val="00ED5480"/>
    <w:rsid w:val="00EE5A19"/>
    <w:rsid w:val="00F02516"/>
    <w:rsid w:val="00F31CA2"/>
    <w:rsid w:val="00F32AD4"/>
    <w:rsid w:val="00F93CCE"/>
    <w:rsid w:val="00FB00A0"/>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33</cp:revision>
  <cp:lastPrinted>2022-11-10T21:22:00Z</cp:lastPrinted>
  <dcterms:created xsi:type="dcterms:W3CDTF">2022-12-31T04:13:00Z</dcterms:created>
  <dcterms:modified xsi:type="dcterms:W3CDTF">2023-01-09T19:28:00Z</dcterms:modified>
</cp:coreProperties>
</file>