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B1F18" w14:textId="77777777" w:rsidR="00F23EE9" w:rsidRPr="006C5399" w:rsidRDefault="00F23EE9" w:rsidP="00B00E91">
      <w:pPr>
        <w:adjustRightInd w:val="0"/>
        <w:snapToGrid w:val="0"/>
        <w:spacing w:beforeLines="50" w:before="156" w:afterLines="50" w:after="156" w:line="300" w:lineRule="exact"/>
        <w:jc w:val="center"/>
        <w:rPr>
          <w:rFonts w:ascii="微软雅黑" w:eastAsia="微软雅黑" w:hAnsi="微软雅黑" w:cs="Arial"/>
          <w:b/>
          <w:sz w:val="20"/>
          <w:szCs w:val="20"/>
        </w:rPr>
      </w:pPr>
      <w:r w:rsidRPr="006C5399">
        <w:rPr>
          <w:rFonts w:ascii="微软雅黑" w:eastAsia="微软雅黑" w:hAnsi="微软雅黑" w:cs="Arial" w:hint="eastAsia"/>
          <w:b/>
          <w:sz w:val="20"/>
          <w:szCs w:val="20"/>
        </w:rPr>
        <w:t>访谈记录</w:t>
      </w:r>
    </w:p>
    <w:p w14:paraId="5244D09B" w14:textId="0120E327" w:rsidR="00F23EE9" w:rsidRDefault="00F23EE9" w:rsidP="00B00E91">
      <w:pPr>
        <w:adjustRightInd w:val="0"/>
        <w:snapToGrid w:val="0"/>
        <w:spacing w:beforeLines="50" w:before="156" w:line="300" w:lineRule="exact"/>
        <w:jc w:val="center"/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</w:pP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  <w:shd w:val="clear" w:color="auto" w:fill="FFFFFF"/>
        </w:rPr>
        <w:t>日期</w:t>
      </w:r>
      <w:r w:rsidRPr="006C5399">
        <w:rPr>
          <w:rFonts w:ascii="微软雅黑" w:eastAsia="微软雅黑" w:hAnsi="微软雅黑" w:cs="Arial"/>
          <w:b/>
          <w:color w:val="595959" w:themeColor="text1" w:themeTint="A6"/>
          <w:sz w:val="20"/>
          <w:szCs w:val="20"/>
          <w:u w:val="single"/>
        </w:rPr>
        <w:t>: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="00007587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22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/06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/20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22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   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时间</w:t>
      </w:r>
      <w:r w:rsidRPr="006C5399">
        <w:rPr>
          <w:rFonts w:ascii="微软雅黑" w:eastAsia="微软雅黑" w:hAnsi="微软雅黑" w:cs="Arial"/>
          <w:b/>
          <w:color w:val="595959" w:themeColor="text1" w:themeTint="A6"/>
          <w:sz w:val="20"/>
          <w:szCs w:val="20"/>
          <w:u w:val="single"/>
        </w:rPr>
        <w:t>: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="00007587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14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:</w:t>
      </w:r>
      <w:r w:rsidR="008908F5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0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0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-</w:t>
      </w:r>
      <w:r w:rsidR="00007587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14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:</w:t>
      </w:r>
      <w:r w:rsidR="00CF068F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3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0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  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地点</w:t>
      </w:r>
      <w:r w:rsidRPr="006C5399">
        <w:rPr>
          <w:rFonts w:ascii="微软雅黑" w:eastAsia="微软雅黑" w:hAnsi="微软雅黑" w:cs="Arial"/>
          <w:b/>
          <w:color w:val="595959" w:themeColor="text1" w:themeTint="A6"/>
          <w:sz w:val="20"/>
          <w:szCs w:val="20"/>
          <w:u w:val="single"/>
        </w:rPr>
        <w:t>: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="001946A8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北京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    </w:t>
      </w:r>
    </w:p>
    <w:p w14:paraId="3503B1EF" w14:textId="6C292877" w:rsidR="00F23EE9" w:rsidRPr="006C5399" w:rsidRDefault="00F23EE9" w:rsidP="00B00E91">
      <w:pPr>
        <w:adjustRightInd w:val="0"/>
        <w:snapToGrid w:val="0"/>
        <w:spacing w:beforeLines="50" w:before="156" w:line="300" w:lineRule="exact"/>
        <w:jc w:val="center"/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</w:pP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访谈人:</w:t>
      </w:r>
      <w:r w:rsidRPr="006C5399">
        <w:rPr>
          <w:rFonts w:ascii="微软雅黑" w:eastAsia="微软雅黑" w:hAnsi="微软雅黑" w:cs="微软雅黑"/>
          <w:b/>
          <w:color w:val="595959" w:themeColor="text1" w:themeTint="A6"/>
          <w:sz w:val="20"/>
          <w:szCs w:val="20"/>
        </w:rPr>
        <w:t xml:space="preserve"> </w:t>
      </w:r>
      <w:r w:rsidRPr="00CF07E6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M2</w:t>
      </w:r>
      <w:r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–</w:t>
      </w:r>
      <w:r w:rsidR="00007587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修总，</w:t>
      </w:r>
      <w:r w:rsidR="001946A8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王淼，颜搏，蔡萌</w:t>
      </w:r>
    </w:p>
    <w:p w14:paraId="06659435" w14:textId="39CDD8A5" w:rsidR="001946A8" w:rsidRDefault="001946A8" w:rsidP="00B00E91">
      <w:pPr>
        <w:adjustRightInd w:val="0"/>
        <w:snapToGrid w:val="0"/>
        <w:spacing w:before="50" w:line="276" w:lineRule="auto"/>
        <w:rPr>
          <w:rFonts w:ascii="微软雅黑" w:eastAsia="微软雅黑" w:hAnsi="微软雅黑" w:cs="微软雅黑"/>
          <w:b/>
          <w:color w:val="595959" w:themeColor="text1" w:themeTint="A6"/>
          <w:sz w:val="20"/>
          <w:szCs w:val="20"/>
          <w:u w:val="single"/>
        </w:rPr>
      </w:pP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目标企业</w:t>
      </w:r>
      <w:r w:rsidR="005E2ED7">
        <w:rPr>
          <w:rFonts w:ascii="微软雅黑" w:eastAsia="微软雅黑" w:hAnsi="微软雅黑" w:cs="微软雅黑"/>
          <w:b/>
          <w:color w:val="595959" w:themeColor="text1" w:themeTint="A6"/>
          <w:sz w:val="20"/>
          <w:szCs w:val="20"/>
          <w:u w:val="single"/>
        </w:rPr>
        <w:t xml:space="preserve"> &amp; </w:t>
      </w:r>
      <w:r w:rsidR="005E2ED7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Summary</w:t>
      </w: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：</w:t>
      </w:r>
    </w:p>
    <w:p w14:paraId="10AECE77" w14:textId="2E1B948E" w:rsidR="001946A8" w:rsidRPr="00007587" w:rsidRDefault="00007587" w:rsidP="00713FE9">
      <w:pPr>
        <w:pStyle w:val="a7"/>
        <w:numPr>
          <w:ilvl w:val="0"/>
          <w:numId w:val="5"/>
        </w:numPr>
        <w:adjustRightInd w:val="0"/>
        <w:snapToGrid w:val="0"/>
        <w:spacing w:before="50" w:line="276" w:lineRule="auto"/>
        <w:ind w:firstLineChars="0"/>
        <w:rPr>
          <w:rFonts w:ascii="微软雅黑" w:eastAsia="微软雅黑" w:hAnsi="微软雅黑" w:cs="微软雅黑"/>
          <w:b/>
          <w:bCs/>
          <w:color w:val="595959" w:themeColor="text1" w:themeTint="A6"/>
          <w:sz w:val="20"/>
          <w:szCs w:val="20"/>
          <w:u w:val="single"/>
        </w:rPr>
      </w:pPr>
      <w:r>
        <w:rPr>
          <w:rFonts w:ascii="华文楷体" w:eastAsia="华文楷体" w:hAnsi="华文楷体" w:hint="eastAsia"/>
          <w:b/>
          <w:bCs/>
        </w:rPr>
        <w:t>科华数据</w:t>
      </w:r>
      <w:r w:rsidR="005E2ED7">
        <w:rPr>
          <w:rFonts w:ascii="华文楷体" w:eastAsia="华文楷体" w:hAnsi="华文楷体" w:hint="eastAsia"/>
          <w:b/>
          <w:bCs/>
        </w:rPr>
        <w:t>；该</w:t>
      </w:r>
      <w:r w:rsidR="00782857" w:rsidRPr="00007587">
        <w:rPr>
          <w:rFonts w:ascii="华文楷体" w:eastAsia="华文楷体" w:hAnsi="华文楷体" w:hint="eastAsia"/>
          <w:b/>
          <w:bCs/>
        </w:rPr>
        <w:t>企业定位</w:t>
      </w:r>
      <w:r w:rsidRPr="00007587">
        <w:rPr>
          <w:rFonts w:ascii="华文楷体" w:eastAsia="华文楷体" w:hAnsi="华文楷体" w:hint="eastAsia"/>
          <w:b/>
          <w:bCs/>
        </w:rPr>
        <w:t>储能系统集成商及</w:t>
      </w:r>
      <w:r w:rsidRPr="00007587">
        <w:rPr>
          <w:rFonts w:ascii="华文楷体" w:eastAsia="华文楷体" w:hAnsi="华文楷体" w:hint="eastAsia"/>
          <w:b/>
          <w:bCs/>
        </w:rPr>
        <w:t>交流</w:t>
      </w:r>
      <w:proofErr w:type="gramStart"/>
      <w:r w:rsidRPr="00007587">
        <w:rPr>
          <w:rFonts w:ascii="华文楷体" w:eastAsia="华文楷体" w:hAnsi="华文楷体" w:hint="eastAsia"/>
          <w:b/>
          <w:bCs/>
        </w:rPr>
        <w:t>侧设备</w:t>
      </w:r>
      <w:proofErr w:type="gramEnd"/>
      <w:r w:rsidRPr="00007587">
        <w:rPr>
          <w:rFonts w:ascii="华文楷体" w:eastAsia="华文楷体" w:hAnsi="华文楷体" w:hint="eastAsia"/>
          <w:b/>
          <w:bCs/>
        </w:rPr>
        <w:t>提供商</w:t>
      </w:r>
      <w:r w:rsidRPr="00007587">
        <w:rPr>
          <w:rFonts w:ascii="华文楷体" w:eastAsia="华文楷体" w:hAnsi="华文楷体" w:hint="eastAsia"/>
          <w:b/>
          <w:bCs/>
        </w:rPr>
        <w:t>，</w:t>
      </w:r>
      <w:r w:rsidR="008908F5" w:rsidRPr="00007587">
        <w:rPr>
          <w:rFonts w:ascii="华文楷体" w:eastAsia="华文楷体" w:hAnsi="华文楷体" w:hint="eastAsia"/>
          <w:b/>
          <w:bCs/>
        </w:rPr>
        <w:t>主要针对</w:t>
      </w:r>
      <w:r w:rsidRPr="00007587">
        <w:rPr>
          <w:rFonts w:ascii="华文楷体" w:eastAsia="华文楷体" w:hAnsi="华文楷体" w:hint="eastAsia"/>
          <w:b/>
          <w:bCs/>
        </w:rPr>
        <w:t>电源侧、电网侧市场</w:t>
      </w:r>
    </w:p>
    <w:p w14:paraId="5A20A6BF" w14:textId="77777777" w:rsidR="001946A8" w:rsidRPr="001946A8" w:rsidRDefault="001946A8" w:rsidP="00B00E91">
      <w:pPr>
        <w:adjustRightInd w:val="0"/>
        <w:snapToGrid w:val="0"/>
        <w:spacing w:before="50" w:line="276" w:lineRule="auto"/>
        <w:rPr>
          <w:rFonts w:ascii="微软雅黑" w:eastAsia="微软雅黑" w:hAnsi="微软雅黑" w:cs="微软雅黑"/>
          <w:b/>
          <w:color w:val="595959" w:themeColor="text1" w:themeTint="A6"/>
          <w:sz w:val="20"/>
          <w:szCs w:val="20"/>
          <w:u w:val="single"/>
        </w:rPr>
      </w:pPr>
      <w:r w:rsidRPr="001946A8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专家背景：</w:t>
      </w:r>
    </w:p>
    <w:p w14:paraId="65662965" w14:textId="25C363A4" w:rsidR="001946A8" w:rsidRPr="001946A8" w:rsidRDefault="00007587" w:rsidP="00B00E91">
      <w:pPr>
        <w:pStyle w:val="a7"/>
        <w:numPr>
          <w:ilvl w:val="0"/>
          <w:numId w:val="5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hint="eastAsia"/>
          <w:b/>
          <w:bCs/>
        </w:rPr>
        <w:t>温总</w:t>
      </w:r>
      <w:r w:rsidR="008908F5">
        <w:rPr>
          <w:rFonts w:ascii="华文楷体" w:eastAsia="华文楷体" w:hAnsi="华文楷体" w:hint="eastAsia"/>
          <w:b/>
          <w:bCs/>
        </w:rPr>
        <w:t>，</w:t>
      </w:r>
      <w:r>
        <w:rPr>
          <w:rFonts w:ascii="华文楷体" w:eastAsia="华文楷体" w:hAnsi="华文楷体" w:hint="eastAsia"/>
          <w:b/>
          <w:bCs/>
        </w:rPr>
        <w:t>在科华工作1</w:t>
      </w:r>
      <w:r>
        <w:rPr>
          <w:rFonts w:ascii="华文楷体" w:eastAsia="华文楷体" w:hAnsi="华文楷体"/>
          <w:b/>
          <w:bCs/>
        </w:rPr>
        <w:t>7</w:t>
      </w:r>
      <w:r>
        <w:rPr>
          <w:rFonts w:ascii="华文楷体" w:eastAsia="华文楷体" w:hAnsi="华文楷体" w:hint="eastAsia"/>
          <w:b/>
          <w:bCs/>
        </w:rPr>
        <w:t>年，现已离职</w:t>
      </w:r>
    </w:p>
    <w:p w14:paraId="6D1B2C02" w14:textId="0A070E48" w:rsidR="00EB7BEF" w:rsidRPr="001946A8" w:rsidRDefault="001946A8" w:rsidP="00B00E91">
      <w:pPr>
        <w:pStyle w:val="a7"/>
        <w:numPr>
          <w:ilvl w:val="0"/>
          <w:numId w:val="5"/>
        </w:numPr>
        <w:adjustRightInd w:val="0"/>
        <w:snapToGrid w:val="0"/>
        <w:spacing w:beforeLines="50" w:before="156"/>
        <w:ind w:firstLineChars="0"/>
        <w:rPr>
          <w:rFonts w:ascii="微软雅黑" w:eastAsia="微软雅黑" w:hAnsi="微软雅黑" w:cs="微软雅黑"/>
          <w:color w:val="595959" w:themeColor="text1" w:themeTint="A6"/>
          <w:sz w:val="20"/>
          <w:szCs w:val="20"/>
        </w:rPr>
      </w:pPr>
      <w:r w:rsidRPr="001946A8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访谈</w:t>
      </w:r>
      <w:r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记录整理</w:t>
      </w:r>
      <w:r>
        <w:rPr>
          <w:rFonts w:ascii="微软雅黑" w:eastAsia="微软雅黑" w:hAnsi="微软雅黑" w:cs="Arial" w:hint="eastAsia"/>
          <w:b/>
          <w:color w:val="595959" w:themeColor="text1" w:themeTint="A6"/>
          <w:sz w:val="20"/>
          <w:szCs w:val="20"/>
          <w:u w:val="single"/>
        </w:rPr>
        <w:t>：</w:t>
      </w:r>
    </w:p>
    <w:p w14:paraId="3992821F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007587">
        <w:rPr>
          <w:rFonts w:ascii="华文楷体" w:eastAsia="华文楷体" w:hAnsi="华文楷体" w:cs="Tahoma"/>
          <w:b/>
          <w:bCs/>
          <w:szCs w:val="21"/>
        </w:rPr>
        <w:t>Q1：科华关注领域</w:t>
      </w:r>
    </w:p>
    <w:p w14:paraId="018953D9" w14:textId="77777777" w:rsid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A：集中表前储能系统</w:t>
      </w:r>
      <w:r>
        <w:rPr>
          <w:rFonts w:ascii="华文楷体" w:eastAsia="华文楷体" w:hAnsi="华文楷体" w:cs="Tahoma" w:hint="eastAsia"/>
          <w:szCs w:val="21"/>
        </w:rPr>
        <w:t>；</w:t>
      </w:r>
    </w:p>
    <w:p w14:paraId="4EF54E8E" w14:textId="74C2AA48" w:rsidR="00007587" w:rsidRPr="00007587" w:rsidRDefault="00007587" w:rsidP="00007587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用户侧</w:t>
      </w:r>
      <w:r>
        <w:rPr>
          <w:rFonts w:ascii="华文楷体" w:eastAsia="华文楷体" w:hAnsi="华文楷体" w:cs="Tahoma" w:hint="eastAsia"/>
          <w:szCs w:val="21"/>
        </w:rPr>
        <w:t>（工商业储能）</w:t>
      </w:r>
      <w:r w:rsidRPr="00007587">
        <w:rPr>
          <w:rFonts w:ascii="华文楷体" w:eastAsia="华文楷体" w:hAnsi="华文楷体" w:cs="Tahoma"/>
          <w:szCs w:val="21"/>
        </w:rPr>
        <w:t>做的很少，</w:t>
      </w:r>
      <w:r w:rsidRPr="00007587">
        <w:rPr>
          <w:rFonts w:ascii="华文楷体" w:eastAsia="华文楷体" w:hAnsi="华文楷体" w:cs="Tahoma" w:hint="eastAsia"/>
          <w:szCs w:val="21"/>
        </w:rPr>
        <w:t>以削峰填谷为主，规模有</w:t>
      </w:r>
      <w:r w:rsidRPr="00007587">
        <w:rPr>
          <w:rFonts w:ascii="华文楷体" w:eastAsia="华文楷体" w:hAnsi="华文楷体" w:cs="Tahoma"/>
          <w:szCs w:val="21"/>
        </w:rPr>
        <w:t>100k/250kWh，250k/500Kwh，大的有1-2MWh</w:t>
      </w:r>
      <w:r>
        <w:rPr>
          <w:rFonts w:ascii="华文楷体" w:eastAsia="华文楷体" w:hAnsi="华文楷体" w:cs="Tahoma" w:hint="eastAsia"/>
          <w:szCs w:val="21"/>
        </w:rPr>
        <w:t>。选取其中</w:t>
      </w:r>
      <w:r w:rsidRPr="00007587">
        <w:rPr>
          <w:rFonts w:ascii="华文楷体" w:eastAsia="华文楷体" w:hAnsi="华文楷体" w:cs="Tahoma"/>
          <w:szCs w:val="21"/>
        </w:rPr>
        <w:t>利润高</w:t>
      </w:r>
      <w:r>
        <w:rPr>
          <w:rFonts w:ascii="华文楷体" w:eastAsia="华文楷体" w:hAnsi="华文楷体" w:cs="Tahoma" w:hint="eastAsia"/>
          <w:szCs w:val="21"/>
        </w:rPr>
        <w:t>的项目参与，</w:t>
      </w:r>
      <w:r w:rsidRPr="00007587">
        <w:rPr>
          <w:rFonts w:ascii="华文楷体" w:eastAsia="华文楷体" w:hAnsi="华文楷体" w:cs="Tahoma"/>
          <w:szCs w:val="21"/>
        </w:rPr>
        <w:t>100万以内的订单需要全款激活</w:t>
      </w:r>
      <w:r>
        <w:rPr>
          <w:rFonts w:ascii="华文楷体" w:eastAsia="华文楷体" w:hAnsi="华文楷体" w:cs="Tahoma" w:hint="eastAsia"/>
          <w:szCs w:val="21"/>
        </w:rPr>
        <w:t>，</w:t>
      </w:r>
      <w:r w:rsidRPr="00007587">
        <w:rPr>
          <w:rFonts w:ascii="华文楷体" w:eastAsia="华文楷体" w:hAnsi="华文楷体" w:cs="Tahoma"/>
          <w:szCs w:val="21"/>
        </w:rPr>
        <w:t>在国内规模很小</w:t>
      </w:r>
      <w:r>
        <w:rPr>
          <w:rFonts w:ascii="华文楷体" w:eastAsia="华文楷体" w:hAnsi="华文楷体" w:cs="Tahoma" w:hint="eastAsia"/>
          <w:szCs w:val="21"/>
        </w:rPr>
        <w:t>；</w:t>
      </w:r>
    </w:p>
    <w:p w14:paraId="59242575" w14:textId="34AD075D" w:rsidR="00007587" w:rsidRPr="00007587" w:rsidRDefault="00007587" w:rsidP="00007587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007587">
        <w:rPr>
          <w:rFonts w:ascii="华文楷体" w:eastAsia="华文楷体" w:hAnsi="华文楷体" w:cs="Tahoma" w:hint="eastAsia"/>
          <w:szCs w:val="21"/>
        </w:rPr>
        <w:t>户用储能主要在海外，规模很少</w:t>
      </w:r>
      <w:r>
        <w:rPr>
          <w:rFonts w:ascii="华文楷体" w:eastAsia="华文楷体" w:hAnsi="华文楷体" w:cs="Tahoma" w:hint="eastAsia"/>
          <w:szCs w:val="21"/>
        </w:rPr>
        <w:t>。</w:t>
      </w:r>
    </w:p>
    <w:p w14:paraId="54346FC6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007587">
        <w:rPr>
          <w:rFonts w:ascii="华文楷体" w:eastAsia="华文楷体" w:hAnsi="华文楷体" w:cs="Tahoma"/>
          <w:b/>
          <w:bCs/>
          <w:szCs w:val="21"/>
        </w:rPr>
        <w:t>Q2：装机规模</w:t>
      </w:r>
    </w:p>
    <w:p w14:paraId="7AB0F0D1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A：2021年交付200-250MWh，订单500MWh</w:t>
      </w:r>
    </w:p>
    <w:p w14:paraId="711385B9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 w:hint="eastAsia"/>
          <w:szCs w:val="21"/>
        </w:rPr>
        <w:t>其中工商业＜</w:t>
      </w:r>
      <w:r w:rsidRPr="00007587">
        <w:rPr>
          <w:rFonts w:ascii="华文楷体" w:eastAsia="华文楷体" w:hAnsi="华文楷体" w:cs="Tahoma"/>
          <w:szCs w:val="21"/>
        </w:rPr>
        <w:t>10MWh，户用（出口）忽略不计</w:t>
      </w:r>
    </w:p>
    <w:p w14:paraId="6E0DD07B" w14:textId="40CC8F05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007587">
        <w:rPr>
          <w:rFonts w:ascii="华文楷体" w:eastAsia="华文楷体" w:hAnsi="华文楷体" w:cs="Tahoma"/>
          <w:b/>
          <w:bCs/>
          <w:szCs w:val="21"/>
        </w:rPr>
        <w:t>Q</w:t>
      </w:r>
      <w:r w:rsidRPr="00007587">
        <w:rPr>
          <w:rFonts w:ascii="华文楷体" w:eastAsia="华文楷体" w:hAnsi="华文楷体" w:cs="Tahoma"/>
          <w:b/>
          <w:bCs/>
          <w:szCs w:val="21"/>
        </w:rPr>
        <w:t>3</w:t>
      </w:r>
      <w:r w:rsidRPr="00007587">
        <w:rPr>
          <w:rFonts w:ascii="华文楷体" w:eastAsia="华文楷体" w:hAnsi="华文楷体" w:cs="Tahoma"/>
          <w:b/>
          <w:bCs/>
          <w:szCs w:val="21"/>
        </w:rPr>
        <w:t>：营收规模</w:t>
      </w:r>
    </w:p>
    <w:p w14:paraId="2303E1BE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A：2021年储能+</w:t>
      </w:r>
      <w:proofErr w:type="gramStart"/>
      <w:r w:rsidRPr="00007587">
        <w:rPr>
          <w:rFonts w:ascii="华文楷体" w:eastAsia="华文楷体" w:hAnsi="华文楷体" w:cs="Tahoma"/>
          <w:szCs w:val="21"/>
        </w:rPr>
        <w:t>光伏营收</w:t>
      </w:r>
      <w:proofErr w:type="gramEnd"/>
      <w:r w:rsidRPr="00007587">
        <w:rPr>
          <w:rFonts w:ascii="华文楷体" w:eastAsia="华文楷体" w:hAnsi="华文楷体" w:cs="Tahoma"/>
          <w:szCs w:val="21"/>
        </w:rPr>
        <w:t>~8亿元（增速25-30%）储能占比30-35%（2.5亿元），2022年在表前侧有较大突破。</w:t>
      </w:r>
    </w:p>
    <w:p w14:paraId="66F7EE98" w14:textId="0CF5C3F2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 w:hint="eastAsia"/>
          <w:szCs w:val="21"/>
        </w:rPr>
        <w:t>有单独销售</w:t>
      </w:r>
      <w:r w:rsidRPr="00007587">
        <w:rPr>
          <w:rFonts w:ascii="华文楷体" w:eastAsia="华文楷体" w:hAnsi="华文楷体" w:cs="Tahoma"/>
          <w:szCs w:val="21"/>
        </w:rPr>
        <w:t>PCS+升压变，客户为东方日升、天合光能</w:t>
      </w:r>
      <w:r>
        <w:rPr>
          <w:rFonts w:ascii="华文楷体" w:eastAsia="华文楷体" w:hAnsi="华文楷体" w:cs="Tahoma" w:hint="eastAsia"/>
          <w:szCs w:val="21"/>
        </w:rPr>
        <w:t>，</w:t>
      </w:r>
      <w:r w:rsidRPr="00007587">
        <w:rPr>
          <w:rFonts w:ascii="华文楷体" w:eastAsia="华文楷体" w:hAnsi="华文楷体" w:cs="Tahoma"/>
          <w:szCs w:val="21"/>
        </w:rPr>
        <w:t>2021年规模1GW</w:t>
      </w:r>
    </w:p>
    <w:p w14:paraId="371282F1" w14:textId="4B6AD18A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007587">
        <w:rPr>
          <w:rFonts w:ascii="华文楷体" w:eastAsia="华文楷体" w:hAnsi="华文楷体" w:cs="Tahoma"/>
          <w:b/>
          <w:bCs/>
          <w:szCs w:val="21"/>
        </w:rPr>
        <w:t>Q3：</w:t>
      </w:r>
      <w:r>
        <w:rPr>
          <w:rFonts w:ascii="华文楷体" w:eastAsia="华文楷体" w:hAnsi="华文楷体" w:cs="Tahoma" w:hint="eastAsia"/>
          <w:b/>
          <w:bCs/>
          <w:szCs w:val="21"/>
        </w:rPr>
        <w:t>产品</w:t>
      </w:r>
      <w:r w:rsidRPr="00007587">
        <w:rPr>
          <w:rFonts w:ascii="华文楷体" w:eastAsia="华文楷体" w:hAnsi="华文楷体" w:cs="Tahoma"/>
          <w:b/>
          <w:bCs/>
          <w:szCs w:val="21"/>
        </w:rPr>
        <w:t>单价</w:t>
      </w:r>
    </w:p>
    <w:p w14:paraId="2265A54B" w14:textId="41341E7B" w:rsidR="00007587" w:rsidRPr="00007587" w:rsidRDefault="00007587" w:rsidP="00007587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A：2021年1.6元/</w:t>
      </w:r>
      <w:proofErr w:type="spellStart"/>
      <w:r w:rsidRPr="00007587">
        <w:rPr>
          <w:rFonts w:ascii="华文楷体" w:eastAsia="华文楷体" w:hAnsi="华文楷体" w:cs="Tahoma"/>
          <w:szCs w:val="21"/>
        </w:rPr>
        <w:t>Wh</w:t>
      </w:r>
      <w:proofErr w:type="spellEnd"/>
      <w:r>
        <w:rPr>
          <w:rFonts w:ascii="华文楷体" w:eastAsia="华文楷体" w:hAnsi="华文楷体" w:cs="Tahoma" w:hint="eastAsia"/>
          <w:szCs w:val="21"/>
        </w:rPr>
        <w:t>，2</w:t>
      </w:r>
      <w:r>
        <w:rPr>
          <w:rFonts w:ascii="华文楷体" w:eastAsia="华文楷体" w:hAnsi="华文楷体" w:cs="Tahoma"/>
          <w:szCs w:val="21"/>
        </w:rPr>
        <w:t>022</w:t>
      </w:r>
      <w:r>
        <w:rPr>
          <w:rFonts w:ascii="华文楷体" w:eastAsia="华文楷体" w:hAnsi="华文楷体" w:cs="Tahoma" w:hint="eastAsia"/>
          <w:szCs w:val="21"/>
        </w:rPr>
        <w:t>年有所上涨</w:t>
      </w:r>
    </w:p>
    <w:p w14:paraId="3082E625" w14:textId="2BC860BE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007587">
        <w:rPr>
          <w:rFonts w:ascii="华文楷体" w:eastAsia="华文楷体" w:hAnsi="华文楷体" w:cs="Tahoma"/>
          <w:b/>
          <w:bCs/>
          <w:szCs w:val="21"/>
        </w:rPr>
        <w:t>Q</w:t>
      </w:r>
      <w:r w:rsidRPr="00007587">
        <w:rPr>
          <w:rFonts w:ascii="华文楷体" w:eastAsia="华文楷体" w:hAnsi="华文楷体" w:cs="Tahoma"/>
          <w:b/>
          <w:bCs/>
          <w:szCs w:val="21"/>
        </w:rPr>
        <w:t>4</w:t>
      </w:r>
      <w:r w:rsidRPr="00007587">
        <w:rPr>
          <w:rFonts w:ascii="华文楷体" w:eastAsia="华文楷体" w:hAnsi="华文楷体" w:cs="Tahoma"/>
          <w:b/>
          <w:bCs/>
          <w:szCs w:val="21"/>
        </w:rPr>
        <w:t>：是否和客户有竞争关系？</w:t>
      </w:r>
    </w:p>
    <w:p w14:paraId="28C3E040" w14:textId="2A702322" w:rsidR="00007587" w:rsidRPr="00007587" w:rsidRDefault="00007587" w:rsidP="00007587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A：个别项目有竞争关系，和阳光电源有一样的问题。阳光电源近年路线比较激进</w:t>
      </w:r>
      <w:r>
        <w:rPr>
          <w:rFonts w:ascii="华文楷体" w:eastAsia="华文楷体" w:hAnsi="华文楷体" w:cs="Tahoma" w:hint="eastAsia"/>
          <w:szCs w:val="21"/>
        </w:rPr>
        <w:t>。</w:t>
      </w:r>
    </w:p>
    <w:p w14:paraId="0325A82E" w14:textId="2B00AAC4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007587">
        <w:rPr>
          <w:rFonts w:ascii="华文楷体" w:eastAsia="华文楷体" w:hAnsi="华文楷体" w:cs="Tahoma"/>
          <w:b/>
          <w:bCs/>
          <w:szCs w:val="21"/>
        </w:rPr>
        <w:t>Q</w:t>
      </w:r>
      <w:r w:rsidRPr="00007587">
        <w:rPr>
          <w:rFonts w:ascii="华文楷体" w:eastAsia="华文楷体" w:hAnsi="华文楷体" w:cs="Tahoma"/>
          <w:b/>
          <w:bCs/>
          <w:szCs w:val="21"/>
        </w:rPr>
        <w:t>5</w:t>
      </w:r>
      <w:r w:rsidRPr="00007587">
        <w:rPr>
          <w:rFonts w:ascii="华文楷体" w:eastAsia="华文楷体" w:hAnsi="华文楷体" w:cs="Tahoma"/>
          <w:b/>
          <w:bCs/>
          <w:szCs w:val="21"/>
        </w:rPr>
        <w:t>：科华的技术优势？</w:t>
      </w:r>
    </w:p>
    <w:p w14:paraId="789D14A0" w14:textId="53A3EBC2" w:rsidR="00007587" w:rsidRPr="00007587" w:rsidRDefault="00007587" w:rsidP="00007587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A：表前风光发电的交流PCS系统，直流侧科华优势不明显</w:t>
      </w:r>
    </w:p>
    <w:p w14:paraId="3D2D2D52" w14:textId="5298410D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007587">
        <w:rPr>
          <w:rFonts w:ascii="华文楷体" w:eastAsia="华文楷体" w:hAnsi="华文楷体" w:cs="Tahoma"/>
          <w:b/>
          <w:bCs/>
          <w:szCs w:val="21"/>
        </w:rPr>
        <w:t>Q</w:t>
      </w:r>
      <w:r w:rsidRPr="00007587">
        <w:rPr>
          <w:rFonts w:ascii="华文楷体" w:eastAsia="华文楷体" w:hAnsi="华文楷体" w:cs="Tahoma"/>
          <w:b/>
          <w:bCs/>
          <w:szCs w:val="21"/>
        </w:rPr>
        <w:t>6</w:t>
      </w:r>
      <w:r w:rsidRPr="00007587">
        <w:rPr>
          <w:rFonts w:ascii="华文楷体" w:eastAsia="华文楷体" w:hAnsi="华文楷体" w:cs="Tahoma"/>
          <w:b/>
          <w:bCs/>
          <w:szCs w:val="21"/>
        </w:rPr>
        <w:t>：未来业务方向？</w:t>
      </w:r>
    </w:p>
    <w:p w14:paraId="09306B8C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A：未来方向是标准化产品，集中布局发电侧、电网侧；科华基本放弃了定制线。</w:t>
      </w:r>
    </w:p>
    <w:p w14:paraId="219A9BA6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</w:p>
    <w:p w14:paraId="4351F537" w14:textId="75A3F487" w:rsidR="00007587" w:rsidRPr="00FB382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FB3827">
        <w:rPr>
          <w:rFonts w:ascii="华文楷体" w:eastAsia="华文楷体" w:hAnsi="华文楷体" w:cs="Tahoma"/>
          <w:b/>
          <w:bCs/>
          <w:szCs w:val="21"/>
        </w:rPr>
        <w:lastRenderedPageBreak/>
        <w:t>Q</w:t>
      </w:r>
      <w:r w:rsidR="00FB3827" w:rsidRPr="00FB3827">
        <w:rPr>
          <w:rFonts w:ascii="华文楷体" w:eastAsia="华文楷体" w:hAnsi="华文楷体" w:cs="Tahoma"/>
          <w:b/>
          <w:bCs/>
          <w:szCs w:val="21"/>
        </w:rPr>
        <w:t>7</w:t>
      </w:r>
      <w:r w:rsidRPr="00FB3827">
        <w:rPr>
          <w:rFonts w:ascii="华文楷体" w:eastAsia="华文楷体" w:hAnsi="华文楷体" w:cs="Tahoma"/>
          <w:b/>
          <w:bCs/>
          <w:szCs w:val="21"/>
        </w:rPr>
        <w:t>：是否考虑数据中心用储能？</w:t>
      </w:r>
    </w:p>
    <w:p w14:paraId="3A390484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A：不考虑。确保数据中心用电稳定性采取了</w:t>
      </w:r>
      <w:proofErr w:type="gramStart"/>
      <w:r w:rsidRPr="00007587">
        <w:rPr>
          <w:rFonts w:ascii="华文楷体" w:eastAsia="华文楷体" w:hAnsi="华文楷体" w:cs="Tahoma"/>
          <w:szCs w:val="21"/>
        </w:rPr>
        <w:t>自投自建</w:t>
      </w:r>
      <w:proofErr w:type="gramEnd"/>
      <w:r w:rsidRPr="00007587">
        <w:rPr>
          <w:rFonts w:ascii="华文楷体" w:eastAsia="华文楷体" w:hAnsi="华文楷体" w:cs="Tahoma"/>
          <w:szCs w:val="21"/>
        </w:rPr>
        <w:t>+UPS，高压直流+发电机组，确保用电稳定性。</w:t>
      </w:r>
    </w:p>
    <w:p w14:paraId="386F0502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 w:hint="eastAsia"/>
          <w:szCs w:val="21"/>
        </w:rPr>
        <w:t>数据中心</w:t>
      </w:r>
      <w:r w:rsidRPr="00007587">
        <w:rPr>
          <w:rFonts w:ascii="华文楷体" w:eastAsia="华文楷体" w:hAnsi="华文楷体" w:cs="Tahoma"/>
          <w:szCs w:val="21"/>
        </w:rPr>
        <w:t>+储能没有相关动作受限于以下几个原因：</w:t>
      </w:r>
    </w:p>
    <w:p w14:paraId="161FFB64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 w:hint="eastAsia"/>
          <w:szCs w:val="21"/>
        </w:rPr>
        <w:t>①</w:t>
      </w:r>
      <w:r w:rsidRPr="00007587">
        <w:rPr>
          <w:rFonts w:ascii="华文楷体" w:eastAsia="华文楷体" w:hAnsi="华文楷体" w:cs="Tahoma"/>
          <w:szCs w:val="21"/>
        </w:rPr>
        <w:tab/>
        <w:t>锂电池价差的投资回报率太低（10年）</w:t>
      </w:r>
    </w:p>
    <w:p w14:paraId="63FBE0C0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 w:hint="eastAsia"/>
          <w:szCs w:val="21"/>
        </w:rPr>
        <w:t>②</w:t>
      </w:r>
      <w:r w:rsidRPr="00007587">
        <w:rPr>
          <w:rFonts w:ascii="华文楷体" w:eastAsia="华文楷体" w:hAnsi="华文楷体" w:cs="Tahoma"/>
          <w:szCs w:val="21"/>
        </w:rPr>
        <w:tab/>
        <w:t>储能电池风险性仍然较高，科华的数据中心客户（腾讯、阿里）为了数据安全性不允许上储能</w:t>
      </w:r>
    </w:p>
    <w:p w14:paraId="50EA1325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 w:hint="eastAsia"/>
          <w:szCs w:val="21"/>
        </w:rPr>
        <w:t>③</w:t>
      </w:r>
      <w:r w:rsidRPr="00007587">
        <w:rPr>
          <w:rFonts w:ascii="华文楷体" w:eastAsia="华文楷体" w:hAnsi="华文楷体" w:cs="Tahoma"/>
          <w:szCs w:val="21"/>
        </w:rPr>
        <w:tab/>
        <w:t>数据中心的区位（东部）地价太高，</w:t>
      </w:r>
      <w:proofErr w:type="gramStart"/>
      <w:r w:rsidRPr="00007587">
        <w:rPr>
          <w:rFonts w:ascii="华文楷体" w:eastAsia="华文楷体" w:hAnsi="华文楷体" w:cs="Tahoma"/>
          <w:szCs w:val="21"/>
        </w:rPr>
        <w:t>配储成本</w:t>
      </w:r>
      <w:proofErr w:type="gramEnd"/>
      <w:r w:rsidRPr="00007587">
        <w:rPr>
          <w:rFonts w:ascii="华文楷体" w:eastAsia="华文楷体" w:hAnsi="华文楷体" w:cs="Tahoma"/>
          <w:szCs w:val="21"/>
        </w:rPr>
        <w:t>太高</w:t>
      </w:r>
    </w:p>
    <w:p w14:paraId="31B3AAE6" w14:textId="2DE8E192" w:rsidR="00007587" w:rsidRPr="00FB382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FB3827">
        <w:rPr>
          <w:rFonts w:ascii="华文楷体" w:eastAsia="华文楷体" w:hAnsi="华文楷体" w:cs="Tahoma"/>
          <w:b/>
          <w:bCs/>
          <w:szCs w:val="21"/>
        </w:rPr>
        <w:t>Q</w:t>
      </w:r>
      <w:r w:rsidR="00FB3827" w:rsidRPr="00FB3827">
        <w:rPr>
          <w:rFonts w:ascii="华文楷体" w:eastAsia="华文楷体" w:hAnsi="华文楷体" w:cs="Tahoma"/>
          <w:b/>
          <w:bCs/>
          <w:szCs w:val="21"/>
        </w:rPr>
        <w:t>8</w:t>
      </w:r>
      <w:r w:rsidRPr="00FB3827">
        <w:rPr>
          <w:rFonts w:ascii="华文楷体" w:eastAsia="华文楷体" w:hAnsi="华文楷体" w:cs="Tahoma"/>
          <w:b/>
          <w:bCs/>
          <w:szCs w:val="21"/>
        </w:rPr>
        <w:t>：数据中心自有电池类型</w:t>
      </w:r>
    </w:p>
    <w:p w14:paraId="7D8F4D48" w14:textId="5A2261B3" w:rsidR="00007587" w:rsidRPr="00007587" w:rsidRDefault="00007587" w:rsidP="00007587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A：①铅酸电池，寿命3-4年 ②胶体电池（较好），寿命5-6年</w:t>
      </w:r>
    </w:p>
    <w:p w14:paraId="7D94AE60" w14:textId="740AEAB0" w:rsidR="00007587" w:rsidRPr="00FB382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FB3827">
        <w:rPr>
          <w:rFonts w:ascii="华文楷体" w:eastAsia="华文楷体" w:hAnsi="华文楷体" w:cs="Tahoma"/>
          <w:b/>
          <w:bCs/>
          <w:szCs w:val="21"/>
        </w:rPr>
        <w:t>Q</w:t>
      </w:r>
      <w:r w:rsidR="00FB3827" w:rsidRPr="00FB3827">
        <w:rPr>
          <w:rFonts w:ascii="华文楷体" w:eastAsia="华文楷体" w:hAnsi="华文楷体" w:cs="Tahoma"/>
          <w:b/>
          <w:bCs/>
          <w:szCs w:val="21"/>
        </w:rPr>
        <w:t>9</w:t>
      </w:r>
      <w:r w:rsidRPr="00FB3827">
        <w:rPr>
          <w:rFonts w:ascii="华文楷体" w:eastAsia="华文楷体" w:hAnsi="华文楷体" w:cs="Tahoma"/>
          <w:b/>
          <w:bCs/>
          <w:szCs w:val="21"/>
        </w:rPr>
        <w:t>：是否有将数据中心电池</w:t>
      </w:r>
      <w:proofErr w:type="gramStart"/>
      <w:r w:rsidRPr="00FB3827">
        <w:rPr>
          <w:rFonts w:ascii="华文楷体" w:eastAsia="华文楷体" w:hAnsi="华文楷体" w:cs="Tahoma"/>
          <w:b/>
          <w:bCs/>
          <w:szCs w:val="21"/>
        </w:rPr>
        <w:t>扩容做削峰</w:t>
      </w:r>
      <w:proofErr w:type="gramEnd"/>
      <w:r w:rsidRPr="00FB3827">
        <w:rPr>
          <w:rFonts w:ascii="华文楷体" w:eastAsia="华文楷体" w:hAnsi="华文楷体" w:cs="Tahoma"/>
          <w:b/>
          <w:bCs/>
          <w:szCs w:val="21"/>
        </w:rPr>
        <w:t>填谷的成熟案例？数据中心是否有上储能的刚性需求？</w:t>
      </w:r>
    </w:p>
    <w:p w14:paraId="4BF29661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A：没有。锂电池的安全性不能满足数据中心的需要。数据中心的电费成本由租户分摊，同事数据中心有严苛的安全需求。数据中心</w:t>
      </w:r>
      <w:proofErr w:type="gramStart"/>
      <w:r w:rsidRPr="00007587">
        <w:rPr>
          <w:rFonts w:ascii="华文楷体" w:eastAsia="华文楷体" w:hAnsi="华文楷体" w:cs="Tahoma"/>
          <w:szCs w:val="21"/>
        </w:rPr>
        <w:t>配储作为</w:t>
      </w:r>
      <w:proofErr w:type="gramEnd"/>
      <w:r w:rsidRPr="00007587">
        <w:rPr>
          <w:rFonts w:ascii="华文楷体" w:eastAsia="华文楷体" w:hAnsi="华文楷体" w:cs="Tahoma"/>
          <w:szCs w:val="21"/>
        </w:rPr>
        <w:t>一种方案，还未形成成熟的商业模式，因为但凡一次锂电池出问题导致数据中心</w:t>
      </w:r>
      <w:proofErr w:type="gramStart"/>
      <w:r w:rsidRPr="00007587">
        <w:rPr>
          <w:rFonts w:ascii="华文楷体" w:eastAsia="华文楷体" w:hAnsi="华文楷体" w:cs="Tahoma"/>
          <w:szCs w:val="21"/>
        </w:rPr>
        <w:t>宕</w:t>
      </w:r>
      <w:proofErr w:type="gramEnd"/>
      <w:r w:rsidRPr="00007587">
        <w:rPr>
          <w:rFonts w:ascii="华文楷体" w:eastAsia="华文楷体" w:hAnsi="华文楷体" w:cs="Tahoma"/>
          <w:szCs w:val="21"/>
        </w:rPr>
        <w:t>机，造成的损失远远大于储能系统十年的收益。</w:t>
      </w:r>
    </w:p>
    <w:p w14:paraId="2A5A7D63" w14:textId="10B79F0E" w:rsidR="00007587" w:rsidRPr="00FB382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FB3827">
        <w:rPr>
          <w:rFonts w:ascii="华文楷体" w:eastAsia="华文楷体" w:hAnsi="华文楷体" w:cs="Tahoma"/>
          <w:b/>
          <w:bCs/>
          <w:szCs w:val="21"/>
        </w:rPr>
        <w:t>Q</w:t>
      </w:r>
      <w:r w:rsidR="00FB3827" w:rsidRPr="00FB3827">
        <w:rPr>
          <w:rFonts w:ascii="华文楷体" w:eastAsia="华文楷体" w:hAnsi="华文楷体" w:cs="Tahoma"/>
          <w:b/>
          <w:bCs/>
          <w:szCs w:val="21"/>
        </w:rPr>
        <w:t>10</w:t>
      </w:r>
      <w:r w:rsidRPr="00FB3827">
        <w:rPr>
          <w:rFonts w:ascii="华文楷体" w:eastAsia="华文楷体" w:hAnsi="华文楷体" w:cs="Tahoma"/>
          <w:b/>
          <w:bCs/>
          <w:szCs w:val="21"/>
        </w:rPr>
        <w:t>：数据中心是否有</w:t>
      </w:r>
      <w:proofErr w:type="gramStart"/>
      <w:r w:rsidRPr="00FB3827">
        <w:rPr>
          <w:rFonts w:ascii="华文楷体" w:eastAsia="华文楷体" w:hAnsi="华文楷体" w:cs="Tahoma"/>
          <w:b/>
          <w:bCs/>
          <w:szCs w:val="21"/>
        </w:rPr>
        <w:t>其他减碳需求</w:t>
      </w:r>
      <w:proofErr w:type="gramEnd"/>
      <w:r w:rsidRPr="00FB3827">
        <w:rPr>
          <w:rFonts w:ascii="华文楷体" w:eastAsia="华文楷体" w:hAnsi="华文楷体" w:cs="Tahoma"/>
          <w:b/>
          <w:bCs/>
          <w:szCs w:val="21"/>
        </w:rPr>
        <w:t>？如额外</w:t>
      </w:r>
      <w:proofErr w:type="gramStart"/>
      <w:r w:rsidRPr="00FB3827">
        <w:rPr>
          <w:rFonts w:ascii="华文楷体" w:eastAsia="华文楷体" w:hAnsi="华文楷体" w:cs="Tahoma"/>
          <w:b/>
          <w:bCs/>
          <w:szCs w:val="21"/>
        </w:rPr>
        <w:t>买绿电</w:t>
      </w:r>
      <w:proofErr w:type="gramEnd"/>
    </w:p>
    <w:p w14:paraId="6C88FB94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A：可以加光伏。</w:t>
      </w:r>
      <w:proofErr w:type="gramStart"/>
      <w:r w:rsidRPr="00007587">
        <w:rPr>
          <w:rFonts w:ascii="华文楷体" w:eastAsia="华文楷体" w:hAnsi="华文楷体" w:cs="Tahoma"/>
          <w:szCs w:val="21"/>
        </w:rPr>
        <w:t>碳交易</w:t>
      </w:r>
      <w:proofErr w:type="gramEnd"/>
      <w:r w:rsidRPr="00007587">
        <w:rPr>
          <w:rFonts w:ascii="华文楷体" w:eastAsia="华文楷体" w:hAnsi="华文楷体" w:cs="Tahoma"/>
          <w:szCs w:val="21"/>
        </w:rPr>
        <w:t>目前还不完善，数据中心没有</w:t>
      </w:r>
      <w:proofErr w:type="gramStart"/>
      <w:r w:rsidRPr="00007587">
        <w:rPr>
          <w:rFonts w:ascii="华文楷体" w:eastAsia="华文楷体" w:hAnsi="华文楷体" w:cs="Tahoma"/>
          <w:szCs w:val="21"/>
        </w:rPr>
        <w:t>买绿电</w:t>
      </w:r>
      <w:proofErr w:type="gramEnd"/>
      <w:r w:rsidRPr="00007587">
        <w:rPr>
          <w:rFonts w:ascii="华文楷体" w:eastAsia="华文楷体" w:hAnsi="华文楷体" w:cs="Tahoma"/>
          <w:szCs w:val="21"/>
        </w:rPr>
        <w:t>的需求。</w:t>
      </w:r>
    </w:p>
    <w:p w14:paraId="5E285AF1" w14:textId="734539E3" w:rsidR="00007587" w:rsidRPr="00FB382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FB3827">
        <w:rPr>
          <w:rFonts w:ascii="华文楷体" w:eastAsia="华文楷体" w:hAnsi="华文楷体" w:cs="Tahoma"/>
          <w:b/>
          <w:bCs/>
          <w:szCs w:val="21"/>
        </w:rPr>
        <w:t>Q</w:t>
      </w:r>
      <w:r w:rsidR="00FB3827" w:rsidRPr="00FB3827">
        <w:rPr>
          <w:rFonts w:ascii="华文楷体" w:eastAsia="华文楷体" w:hAnsi="华文楷体" w:cs="Tahoma"/>
          <w:b/>
          <w:bCs/>
          <w:szCs w:val="21"/>
        </w:rPr>
        <w:t>11</w:t>
      </w:r>
      <w:r w:rsidRPr="00FB3827">
        <w:rPr>
          <w:rFonts w:ascii="华文楷体" w:eastAsia="华文楷体" w:hAnsi="华文楷体" w:cs="Tahoma"/>
          <w:b/>
          <w:bCs/>
          <w:szCs w:val="21"/>
        </w:rPr>
        <w:t>：关于科华数能</w:t>
      </w:r>
    </w:p>
    <w:p w14:paraId="4D35CB42" w14:textId="5B044876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A：是科华的全资子公司，2021年成立。2021年的业绩并入科华数据里，</w:t>
      </w:r>
      <w:r w:rsidR="00FB3827">
        <w:rPr>
          <w:rFonts w:ascii="华文楷体" w:eastAsia="华文楷体" w:hAnsi="华文楷体" w:cs="Tahoma" w:hint="eastAsia"/>
          <w:szCs w:val="21"/>
        </w:rPr>
        <w:t>无法拆出</w:t>
      </w:r>
      <w:r w:rsidRPr="00007587">
        <w:rPr>
          <w:rFonts w:ascii="华文楷体" w:eastAsia="华文楷体" w:hAnsi="华文楷体" w:cs="Tahoma"/>
          <w:szCs w:val="21"/>
        </w:rPr>
        <w:t>。总营</w:t>
      </w:r>
      <w:proofErr w:type="gramStart"/>
      <w:r w:rsidRPr="00007587">
        <w:rPr>
          <w:rFonts w:ascii="华文楷体" w:eastAsia="华文楷体" w:hAnsi="华文楷体" w:cs="Tahoma"/>
          <w:szCs w:val="21"/>
        </w:rPr>
        <w:t>收包括</w:t>
      </w:r>
      <w:proofErr w:type="gramEnd"/>
      <w:r w:rsidRPr="00007587">
        <w:rPr>
          <w:rFonts w:ascii="华文楷体" w:eastAsia="华文楷体" w:hAnsi="华文楷体" w:cs="Tahoma"/>
          <w:szCs w:val="21"/>
        </w:rPr>
        <w:t>光伏+储能，隶属新能源</w:t>
      </w:r>
      <w:r w:rsidR="00FB3827">
        <w:rPr>
          <w:rFonts w:ascii="华文楷体" w:eastAsia="华文楷体" w:hAnsi="华文楷体" w:cs="Tahoma" w:hint="eastAsia"/>
          <w:szCs w:val="21"/>
        </w:rPr>
        <w:t>板块</w:t>
      </w:r>
      <w:r w:rsidRPr="00007587">
        <w:rPr>
          <w:rFonts w:ascii="华文楷体" w:eastAsia="华文楷体" w:hAnsi="华文楷体" w:cs="Tahoma"/>
          <w:szCs w:val="21"/>
        </w:rPr>
        <w:t>。</w:t>
      </w:r>
    </w:p>
    <w:p w14:paraId="1CF456F9" w14:textId="0EC294AB" w:rsidR="00007587" w:rsidRPr="00FB382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FB3827">
        <w:rPr>
          <w:rFonts w:ascii="华文楷体" w:eastAsia="华文楷体" w:hAnsi="华文楷体" w:cs="Tahoma"/>
          <w:b/>
          <w:bCs/>
          <w:szCs w:val="21"/>
        </w:rPr>
        <w:t>Q</w:t>
      </w:r>
      <w:r w:rsidR="00FB3827" w:rsidRPr="00FB3827">
        <w:rPr>
          <w:rFonts w:ascii="华文楷体" w:eastAsia="华文楷体" w:hAnsi="华文楷体" w:cs="Tahoma"/>
          <w:b/>
          <w:bCs/>
          <w:szCs w:val="21"/>
        </w:rPr>
        <w:t>12</w:t>
      </w:r>
      <w:r w:rsidRPr="00FB3827">
        <w:rPr>
          <w:rFonts w:ascii="华文楷体" w:eastAsia="华文楷体" w:hAnsi="华文楷体" w:cs="Tahoma"/>
          <w:b/>
          <w:bCs/>
          <w:szCs w:val="21"/>
        </w:rPr>
        <w:t>：</w:t>
      </w:r>
      <w:r w:rsidR="00FB3827">
        <w:rPr>
          <w:rFonts w:ascii="华文楷体" w:eastAsia="华文楷体" w:hAnsi="华文楷体" w:cs="Tahoma" w:hint="eastAsia"/>
          <w:b/>
          <w:bCs/>
          <w:szCs w:val="21"/>
        </w:rPr>
        <w:t>为何</w:t>
      </w:r>
      <w:r w:rsidRPr="00FB3827">
        <w:rPr>
          <w:rFonts w:ascii="华文楷体" w:eastAsia="华文楷体" w:hAnsi="华文楷体" w:cs="Tahoma"/>
          <w:b/>
          <w:bCs/>
          <w:szCs w:val="21"/>
        </w:rPr>
        <w:t>锂</w:t>
      </w:r>
      <w:proofErr w:type="gramStart"/>
      <w:r w:rsidRPr="00FB3827">
        <w:rPr>
          <w:rFonts w:ascii="华文楷体" w:eastAsia="华文楷体" w:hAnsi="华文楷体" w:cs="Tahoma"/>
          <w:b/>
          <w:bCs/>
          <w:szCs w:val="21"/>
        </w:rPr>
        <w:t>电考虑</w:t>
      </w:r>
      <w:proofErr w:type="gramEnd"/>
      <w:r w:rsidRPr="00FB3827">
        <w:rPr>
          <w:rFonts w:ascii="华文楷体" w:eastAsia="华文楷体" w:hAnsi="华文楷体" w:cs="Tahoma"/>
          <w:b/>
          <w:bCs/>
          <w:szCs w:val="21"/>
        </w:rPr>
        <w:t>到安全性难以运用数据中心，但</w:t>
      </w:r>
      <w:r w:rsidR="00FB3827">
        <w:rPr>
          <w:rFonts w:ascii="华文楷体" w:eastAsia="华文楷体" w:hAnsi="华文楷体" w:cs="Tahoma" w:hint="eastAsia"/>
          <w:b/>
          <w:bCs/>
          <w:szCs w:val="21"/>
        </w:rPr>
        <w:t>可以使用锂电</w:t>
      </w:r>
      <w:r w:rsidRPr="00FB3827">
        <w:rPr>
          <w:rFonts w:ascii="华文楷体" w:eastAsia="华文楷体" w:hAnsi="华文楷体" w:cs="Tahoma"/>
          <w:b/>
          <w:bCs/>
          <w:szCs w:val="21"/>
        </w:rPr>
        <w:t>UPS</w:t>
      </w:r>
    </w:p>
    <w:p w14:paraId="32C71820" w14:textId="59CE0AC8" w:rsidR="00007587" w:rsidRPr="00007587" w:rsidRDefault="00007587" w:rsidP="00007587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A：锂电UPS是近两年推出的，华为推出了“铅退锂进”，考虑到寿命长、放电倍率。本质上UPS平时基本不工作，只需要10-20年更换一次。</w:t>
      </w:r>
    </w:p>
    <w:p w14:paraId="1AF5584C" w14:textId="07444597" w:rsidR="00007587" w:rsidRPr="00FB382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FB3827">
        <w:rPr>
          <w:rFonts w:ascii="华文楷体" w:eastAsia="华文楷体" w:hAnsi="华文楷体" w:cs="Tahoma"/>
          <w:b/>
          <w:bCs/>
          <w:szCs w:val="21"/>
        </w:rPr>
        <w:t>Q</w:t>
      </w:r>
      <w:r w:rsidR="00FB3827" w:rsidRPr="00FB3827">
        <w:rPr>
          <w:rFonts w:ascii="华文楷体" w:eastAsia="华文楷体" w:hAnsi="华文楷体" w:cs="Tahoma"/>
          <w:b/>
          <w:bCs/>
          <w:szCs w:val="21"/>
        </w:rPr>
        <w:t>13</w:t>
      </w:r>
      <w:r w:rsidRPr="00FB3827">
        <w:rPr>
          <w:rFonts w:ascii="华文楷体" w:eastAsia="华文楷体" w:hAnsi="华文楷体" w:cs="Tahoma"/>
          <w:b/>
          <w:bCs/>
          <w:szCs w:val="21"/>
        </w:rPr>
        <w:t>：项目开发由谁</w:t>
      </w:r>
      <w:r w:rsidR="00FB3827">
        <w:rPr>
          <w:rFonts w:ascii="华文楷体" w:eastAsia="华文楷体" w:hAnsi="华文楷体" w:cs="Tahoma" w:hint="eastAsia"/>
          <w:b/>
          <w:bCs/>
          <w:szCs w:val="21"/>
        </w:rPr>
        <w:t>负责</w:t>
      </w:r>
      <w:r w:rsidRPr="00FB3827">
        <w:rPr>
          <w:rFonts w:ascii="华文楷体" w:eastAsia="华文楷体" w:hAnsi="华文楷体" w:cs="Tahoma"/>
          <w:b/>
          <w:bCs/>
          <w:szCs w:val="21"/>
        </w:rPr>
        <w:t>？</w:t>
      </w:r>
    </w:p>
    <w:p w14:paraId="7C4A3FD9" w14:textId="612E5884" w:rsidR="00007587" w:rsidRPr="00007587" w:rsidRDefault="00007587" w:rsidP="00007587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A：科华恒盛电力科技有限公司负责开发项目。原来光伏电站的开发投资都在科华恒盛</w:t>
      </w:r>
    </w:p>
    <w:p w14:paraId="478068EF" w14:textId="7E74224E" w:rsidR="00007587" w:rsidRPr="00FB3827" w:rsidRDefault="00007587" w:rsidP="00007587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FB3827">
        <w:rPr>
          <w:rFonts w:ascii="华文楷体" w:eastAsia="华文楷体" w:hAnsi="华文楷体" w:cs="Tahoma"/>
          <w:b/>
          <w:bCs/>
          <w:szCs w:val="21"/>
        </w:rPr>
        <w:t>Q</w:t>
      </w:r>
      <w:r w:rsidR="00FB3827" w:rsidRPr="00FB3827">
        <w:rPr>
          <w:rFonts w:ascii="华文楷体" w:eastAsia="华文楷体" w:hAnsi="华文楷体" w:cs="Tahoma"/>
          <w:b/>
          <w:bCs/>
          <w:szCs w:val="21"/>
        </w:rPr>
        <w:t>14</w:t>
      </w:r>
      <w:r w:rsidRPr="00FB3827">
        <w:rPr>
          <w:rFonts w:ascii="华文楷体" w:eastAsia="华文楷体" w:hAnsi="华文楷体" w:cs="Tahoma"/>
          <w:b/>
          <w:bCs/>
          <w:szCs w:val="21"/>
        </w:rPr>
        <w:t>：是否有其他数据中心+储能的示范项目？</w:t>
      </w:r>
    </w:p>
    <w:p w14:paraId="24467177" w14:textId="77777777" w:rsidR="00007587" w:rsidRPr="00007587" w:rsidRDefault="00007587" w:rsidP="00007587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007587">
        <w:rPr>
          <w:rFonts w:ascii="华文楷体" w:eastAsia="华文楷体" w:hAnsi="华文楷体" w:cs="Tahoma"/>
          <w:szCs w:val="21"/>
        </w:rPr>
        <w:t>A：中恒能源公司（电网公司）有自己做过示范项目，在上海。目前从未有过（包括华为）用储能代替不间断UPS 的方案。数据中心的安全性远远高于其他方面带来的经济价值。</w:t>
      </w:r>
    </w:p>
    <w:p w14:paraId="73CD473C" w14:textId="48550B96" w:rsidR="00007587" w:rsidRPr="002170AD" w:rsidRDefault="00007587" w:rsidP="00CF068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007587">
        <w:rPr>
          <w:rFonts w:ascii="华文楷体" w:eastAsia="华文楷体" w:hAnsi="华文楷体" w:cs="Tahoma" w:hint="eastAsia"/>
          <w:szCs w:val="21"/>
        </w:rPr>
        <w:t>有一种可能：数据中心中会将储能应用在非核心场所，和数据保障脱离开。比如应用在办公区、生活区，而</w:t>
      </w:r>
      <w:proofErr w:type="gramStart"/>
      <w:r w:rsidRPr="00007587">
        <w:rPr>
          <w:rFonts w:ascii="华文楷体" w:eastAsia="华文楷体" w:hAnsi="华文楷体" w:cs="Tahoma" w:hint="eastAsia"/>
          <w:szCs w:val="21"/>
        </w:rPr>
        <w:t>非数据</w:t>
      </w:r>
      <w:proofErr w:type="gramEnd"/>
      <w:r w:rsidRPr="00007587">
        <w:rPr>
          <w:rFonts w:ascii="华文楷体" w:eastAsia="华文楷体" w:hAnsi="华文楷体" w:cs="Tahoma" w:hint="eastAsia"/>
          <w:szCs w:val="21"/>
        </w:rPr>
        <w:t>中心保障区，不直接接入数据中心线路。</w:t>
      </w:r>
    </w:p>
    <w:sectPr w:rsidR="00007587" w:rsidRPr="002170AD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D9F46" w14:textId="77777777" w:rsidR="00E74B10" w:rsidRDefault="00E74B10" w:rsidP="006908A3">
      <w:r>
        <w:separator/>
      </w:r>
    </w:p>
  </w:endnote>
  <w:endnote w:type="continuationSeparator" w:id="0">
    <w:p w14:paraId="2A73F6FD" w14:textId="77777777" w:rsidR="00E74B10" w:rsidRDefault="00E74B10" w:rsidP="00690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6919238"/>
      <w:docPartObj>
        <w:docPartGallery w:val="Page Numbers (Bottom of Page)"/>
        <w:docPartUnique/>
      </w:docPartObj>
    </w:sdtPr>
    <w:sdtEndPr/>
    <w:sdtContent>
      <w:p w14:paraId="09CF1136" w14:textId="77777777" w:rsidR="0089293C" w:rsidRDefault="0089293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7B1A5E0" w14:textId="77777777" w:rsidR="0089293C" w:rsidRDefault="008929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C5211" w14:textId="77777777" w:rsidR="00E74B10" w:rsidRDefault="00E74B10" w:rsidP="006908A3">
      <w:r>
        <w:separator/>
      </w:r>
    </w:p>
  </w:footnote>
  <w:footnote w:type="continuationSeparator" w:id="0">
    <w:p w14:paraId="13696732" w14:textId="77777777" w:rsidR="00E74B10" w:rsidRDefault="00E74B10" w:rsidP="00690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59C02" w14:textId="5F3FDAC6" w:rsidR="00F23EE9" w:rsidRPr="00F23EE9" w:rsidRDefault="00F23EE9" w:rsidP="00F23EE9">
    <w:pPr>
      <w:pStyle w:val="a3"/>
      <w:jc w:val="left"/>
      <w:rPr>
        <w:rFonts w:ascii="微软雅黑" w:eastAsia="微软雅黑" w:hAnsi="微软雅黑"/>
        <w:b/>
        <w:bCs/>
        <w:i/>
        <w:iCs/>
        <w:sz w:val="21"/>
        <w:szCs w:val="21"/>
      </w:rPr>
    </w:pPr>
    <w:r>
      <w:rPr>
        <w:rFonts w:ascii="微软雅黑" w:eastAsia="微软雅黑" w:hAnsi="微软雅黑" w:hint="eastAsia"/>
        <w:b/>
        <w:bCs/>
        <w:i/>
        <w:iCs/>
        <w:sz w:val="21"/>
        <w:szCs w:val="21"/>
      </w:rPr>
      <w:t>施耐德_</w:t>
    </w:r>
    <w:r w:rsidRPr="00F23EE9">
      <w:rPr>
        <w:rFonts w:ascii="微软雅黑" w:eastAsia="微软雅黑" w:hAnsi="微软雅黑" w:hint="eastAsia"/>
        <w:b/>
        <w:bCs/>
        <w:i/>
        <w:iCs/>
        <w:sz w:val="21"/>
        <w:szCs w:val="21"/>
      </w:rPr>
      <w:t>电池储能系统集成商调研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56906"/>
    <w:multiLevelType w:val="hybridMultilevel"/>
    <w:tmpl w:val="C926660C"/>
    <w:lvl w:ilvl="0" w:tplc="2CEE156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FF1F44"/>
    <w:multiLevelType w:val="hybridMultilevel"/>
    <w:tmpl w:val="A0CE7818"/>
    <w:lvl w:ilvl="0" w:tplc="17A67CD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A92B0C"/>
    <w:multiLevelType w:val="hybridMultilevel"/>
    <w:tmpl w:val="49DABF60"/>
    <w:lvl w:ilvl="0" w:tplc="850A685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7E528BE"/>
    <w:multiLevelType w:val="hybridMultilevel"/>
    <w:tmpl w:val="AF503418"/>
    <w:lvl w:ilvl="0" w:tplc="8D2426B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AB56DD4"/>
    <w:multiLevelType w:val="hybridMultilevel"/>
    <w:tmpl w:val="5C1AE420"/>
    <w:lvl w:ilvl="0" w:tplc="4E325B9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D94084A"/>
    <w:multiLevelType w:val="hybridMultilevel"/>
    <w:tmpl w:val="88443408"/>
    <w:lvl w:ilvl="0" w:tplc="3EEA24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E8075E9"/>
    <w:multiLevelType w:val="hybridMultilevel"/>
    <w:tmpl w:val="5E3A350C"/>
    <w:lvl w:ilvl="0" w:tplc="FF9A7DB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41C559EF"/>
    <w:multiLevelType w:val="hybridMultilevel"/>
    <w:tmpl w:val="EFB45BAC"/>
    <w:lvl w:ilvl="0" w:tplc="FFFFFFFF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4007583"/>
    <w:multiLevelType w:val="hybridMultilevel"/>
    <w:tmpl w:val="EFDA34AC"/>
    <w:lvl w:ilvl="0" w:tplc="6910045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1D81494"/>
    <w:multiLevelType w:val="hybridMultilevel"/>
    <w:tmpl w:val="600076C2"/>
    <w:lvl w:ilvl="0" w:tplc="C150A5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5100ACD"/>
    <w:multiLevelType w:val="hybridMultilevel"/>
    <w:tmpl w:val="72746E8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CF60DFE"/>
    <w:multiLevelType w:val="hybridMultilevel"/>
    <w:tmpl w:val="20CA534E"/>
    <w:lvl w:ilvl="0" w:tplc="26D8BA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DBA6EEF"/>
    <w:multiLevelType w:val="hybridMultilevel"/>
    <w:tmpl w:val="EFB45BAC"/>
    <w:lvl w:ilvl="0" w:tplc="7C0C7C5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3976C7A"/>
    <w:multiLevelType w:val="hybridMultilevel"/>
    <w:tmpl w:val="1D6E6E12"/>
    <w:lvl w:ilvl="0" w:tplc="0620473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40F6D30"/>
    <w:multiLevelType w:val="hybridMultilevel"/>
    <w:tmpl w:val="65365886"/>
    <w:lvl w:ilvl="0" w:tplc="85129CA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CFB3A60"/>
    <w:multiLevelType w:val="hybridMultilevel"/>
    <w:tmpl w:val="1522199C"/>
    <w:lvl w:ilvl="0" w:tplc="CE5AEA6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76223638">
    <w:abstractNumId w:val="8"/>
  </w:num>
  <w:num w:numId="2" w16cid:durableId="1377125258">
    <w:abstractNumId w:val="12"/>
  </w:num>
  <w:num w:numId="3" w16cid:durableId="2133086468">
    <w:abstractNumId w:val="7"/>
  </w:num>
  <w:num w:numId="4" w16cid:durableId="422727432">
    <w:abstractNumId w:val="4"/>
  </w:num>
  <w:num w:numId="5" w16cid:durableId="502863328">
    <w:abstractNumId w:val="10"/>
  </w:num>
  <w:num w:numId="6" w16cid:durableId="305090236">
    <w:abstractNumId w:val="14"/>
  </w:num>
  <w:num w:numId="7" w16cid:durableId="965627651">
    <w:abstractNumId w:val="9"/>
  </w:num>
  <w:num w:numId="8" w16cid:durableId="94058356">
    <w:abstractNumId w:val="1"/>
  </w:num>
  <w:num w:numId="9" w16cid:durableId="1005013635">
    <w:abstractNumId w:val="2"/>
  </w:num>
  <w:num w:numId="10" w16cid:durableId="258374684">
    <w:abstractNumId w:val="11"/>
  </w:num>
  <w:num w:numId="11" w16cid:durableId="1492915456">
    <w:abstractNumId w:val="15"/>
  </w:num>
  <w:num w:numId="12" w16cid:durableId="1779640816">
    <w:abstractNumId w:val="5"/>
  </w:num>
  <w:num w:numId="13" w16cid:durableId="1062827808">
    <w:abstractNumId w:val="3"/>
  </w:num>
  <w:num w:numId="14" w16cid:durableId="710768247">
    <w:abstractNumId w:val="13"/>
  </w:num>
  <w:num w:numId="15" w16cid:durableId="2052804339">
    <w:abstractNumId w:val="6"/>
  </w:num>
  <w:num w:numId="16" w16cid:durableId="5848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6C"/>
    <w:rsid w:val="00007587"/>
    <w:rsid w:val="00037FDE"/>
    <w:rsid w:val="00046D8F"/>
    <w:rsid w:val="00052B02"/>
    <w:rsid w:val="00080B0F"/>
    <w:rsid w:val="00086531"/>
    <w:rsid w:val="00097E13"/>
    <w:rsid w:val="000A00F2"/>
    <w:rsid w:val="000A76B0"/>
    <w:rsid w:val="000D723C"/>
    <w:rsid w:val="000D7A73"/>
    <w:rsid w:val="000E416B"/>
    <w:rsid w:val="000E4D38"/>
    <w:rsid w:val="001046A7"/>
    <w:rsid w:val="00124D90"/>
    <w:rsid w:val="00134E39"/>
    <w:rsid w:val="00137210"/>
    <w:rsid w:val="0017171A"/>
    <w:rsid w:val="00173DE9"/>
    <w:rsid w:val="00177F18"/>
    <w:rsid w:val="001946A8"/>
    <w:rsid w:val="00195D6B"/>
    <w:rsid w:val="001A4B56"/>
    <w:rsid w:val="001D1393"/>
    <w:rsid w:val="00206799"/>
    <w:rsid w:val="002170AD"/>
    <w:rsid w:val="00235B0E"/>
    <w:rsid w:val="00236D12"/>
    <w:rsid w:val="0024341B"/>
    <w:rsid w:val="00254FCB"/>
    <w:rsid w:val="0026491C"/>
    <w:rsid w:val="002747A2"/>
    <w:rsid w:val="002B40FC"/>
    <w:rsid w:val="002E1437"/>
    <w:rsid w:val="002E671C"/>
    <w:rsid w:val="002F1979"/>
    <w:rsid w:val="002F5252"/>
    <w:rsid w:val="002F55F1"/>
    <w:rsid w:val="00300E44"/>
    <w:rsid w:val="00326C28"/>
    <w:rsid w:val="003301EE"/>
    <w:rsid w:val="00335F18"/>
    <w:rsid w:val="00340004"/>
    <w:rsid w:val="00350114"/>
    <w:rsid w:val="00360E6D"/>
    <w:rsid w:val="003613B3"/>
    <w:rsid w:val="0037125F"/>
    <w:rsid w:val="0038211E"/>
    <w:rsid w:val="003A4691"/>
    <w:rsid w:val="003B7927"/>
    <w:rsid w:val="003C0BF3"/>
    <w:rsid w:val="003D1A37"/>
    <w:rsid w:val="003F3079"/>
    <w:rsid w:val="003F5483"/>
    <w:rsid w:val="00411F58"/>
    <w:rsid w:val="0044672A"/>
    <w:rsid w:val="00451173"/>
    <w:rsid w:val="00454439"/>
    <w:rsid w:val="00486991"/>
    <w:rsid w:val="004B1F77"/>
    <w:rsid w:val="004B3C96"/>
    <w:rsid w:val="004C0653"/>
    <w:rsid w:val="004E5E07"/>
    <w:rsid w:val="00503DF4"/>
    <w:rsid w:val="00522F38"/>
    <w:rsid w:val="00526D8F"/>
    <w:rsid w:val="00571CC6"/>
    <w:rsid w:val="005829BE"/>
    <w:rsid w:val="00586E18"/>
    <w:rsid w:val="00591B84"/>
    <w:rsid w:val="005A0936"/>
    <w:rsid w:val="005E2ED7"/>
    <w:rsid w:val="005E4A2E"/>
    <w:rsid w:val="006174E0"/>
    <w:rsid w:val="006236EA"/>
    <w:rsid w:val="00624218"/>
    <w:rsid w:val="006357DD"/>
    <w:rsid w:val="00641F77"/>
    <w:rsid w:val="006457CF"/>
    <w:rsid w:val="00681184"/>
    <w:rsid w:val="006908A3"/>
    <w:rsid w:val="00690E6C"/>
    <w:rsid w:val="006A4B93"/>
    <w:rsid w:val="006B6B9F"/>
    <w:rsid w:val="006C5B69"/>
    <w:rsid w:val="006D7B55"/>
    <w:rsid w:val="006E426E"/>
    <w:rsid w:val="00713FE9"/>
    <w:rsid w:val="007310D7"/>
    <w:rsid w:val="00743394"/>
    <w:rsid w:val="007436FD"/>
    <w:rsid w:val="0075119D"/>
    <w:rsid w:val="00755A08"/>
    <w:rsid w:val="00757E29"/>
    <w:rsid w:val="00782857"/>
    <w:rsid w:val="007A5BA7"/>
    <w:rsid w:val="007F687F"/>
    <w:rsid w:val="008041F6"/>
    <w:rsid w:val="00827D6A"/>
    <w:rsid w:val="008419E9"/>
    <w:rsid w:val="00844C03"/>
    <w:rsid w:val="00864462"/>
    <w:rsid w:val="008868D7"/>
    <w:rsid w:val="008908F5"/>
    <w:rsid w:val="0089293C"/>
    <w:rsid w:val="00897942"/>
    <w:rsid w:val="008A37A4"/>
    <w:rsid w:val="008E3901"/>
    <w:rsid w:val="0090115A"/>
    <w:rsid w:val="00911AB9"/>
    <w:rsid w:val="00920CCB"/>
    <w:rsid w:val="009455AB"/>
    <w:rsid w:val="0095432C"/>
    <w:rsid w:val="009B0E2B"/>
    <w:rsid w:val="009B4E51"/>
    <w:rsid w:val="009C243C"/>
    <w:rsid w:val="009D0C9E"/>
    <w:rsid w:val="009E4E77"/>
    <w:rsid w:val="009F4989"/>
    <w:rsid w:val="00A014A6"/>
    <w:rsid w:val="00A10FB6"/>
    <w:rsid w:val="00A67461"/>
    <w:rsid w:val="00A72315"/>
    <w:rsid w:val="00A752CC"/>
    <w:rsid w:val="00A86DDC"/>
    <w:rsid w:val="00A928AE"/>
    <w:rsid w:val="00AA5B3E"/>
    <w:rsid w:val="00AC67A2"/>
    <w:rsid w:val="00AE03ED"/>
    <w:rsid w:val="00AE0842"/>
    <w:rsid w:val="00AE0B9B"/>
    <w:rsid w:val="00B00E91"/>
    <w:rsid w:val="00B12B9A"/>
    <w:rsid w:val="00B66A09"/>
    <w:rsid w:val="00B77153"/>
    <w:rsid w:val="00B835F0"/>
    <w:rsid w:val="00B9491C"/>
    <w:rsid w:val="00BA402F"/>
    <w:rsid w:val="00BA7E27"/>
    <w:rsid w:val="00C02960"/>
    <w:rsid w:val="00C21875"/>
    <w:rsid w:val="00C22271"/>
    <w:rsid w:val="00C42A94"/>
    <w:rsid w:val="00CD6FC5"/>
    <w:rsid w:val="00CF068F"/>
    <w:rsid w:val="00D10DE6"/>
    <w:rsid w:val="00D245F5"/>
    <w:rsid w:val="00D26DD9"/>
    <w:rsid w:val="00D40E36"/>
    <w:rsid w:val="00D51275"/>
    <w:rsid w:val="00D579D4"/>
    <w:rsid w:val="00D777AC"/>
    <w:rsid w:val="00D81D1C"/>
    <w:rsid w:val="00D83C89"/>
    <w:rsid w:val="00D84BD5"/>
    <w:rsid w:val="00D96F47"/>
    <w:rsid w:val="00DA3FB0"/>
    <w:rsid w:val="00DB21F7"/>
    <w:rsid w:val="00DC11DF"/>
    <w:rsid w:val="00DC34B7"/>
    <w:rsid w:val="00DD4EC2"/>
    <w:rsid w:val="00DD58E1"/>
    <w:rsid w:val="00DE4309"/>
    <w:rsid w:val="00E20110"/>
    <w:rsid w:val="00E37612"/>
    <w:rsid w:val="00E42DB0"/>
    <w:rsid w:val="00E62A3B"/>
    <w:rsid w:val="00E74B10"/>
    <w:rsid w:val="00E92048"/>
    <w:rsid w:val="00E93005"/>
    <w:rsid w:val="00E94239"/>
    <w:rsid w:val="00EA212F"/>
    <w:rsid w:val="00EA416B"/>
    <w:rsid w:val="00EB7BEF"/>
    <w:rsid w:val="00EC5B5C"/>
    <w:rsid w:val="00EF5356"/>
    <w:rsid w:val="00EF6E7D"/>
    <w:rsid w:val="00F004A1"/>
    <w:rsid w:val="00F231C5"/>
    <w:rsid w:val="00F23EE9"/>
    <w:rsid w:val="00F246F7"/>
    <w:rsid w:val="00F27715"/>
    <w:rsid w:val="00F27B71"/>
    <w:rsid w:val="00F45E7A"/>
    <w:rsid w:val="00F5294F"/>
    <w:rsid w:val="00FA4C0B"/>
    <w:rsid w:val="00FB3827"/>
    <w:rsid w:val="00FD1F09"/>
    <w:rsid w:val="00FF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BE5ED"/>
  <w15:chartTrackingRefBased/>
  <w15:docId w15:val="{4845435B-F18D-4FEC-A805-B5E92071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08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08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08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08A3"/>
    <w:rPr>
      <w:sz w:val="18"/>
      <w:szCs w:val="18"/>
    </w:rPr>
  </w:style>
  <w:style w:type="paragraph" w:styleId="a7">
    <w:name w:val="List Paragraph"/>
    <w:basedOn w:val="a"/>
    <w:uiPriority w:val="34"/>
    <w:qFormat/>
    <w:rsid w:val="009455A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meng.cai@m2investment.com</dc:creator>
  <cp:keywords/>
  <dc:description/>
  <cp:lastModifiedBy>meng.cai@m2investment.com</cp:lastModifiedBy>
  <cp:revision>2</cp:revision>
  <dcterms:created xsi:type="dcterms:W3CDTF">2022-06-22T09:59:00Z</dcterms:created>
  <dcterms:modified xsi:type="dcterms:W3CDTF">2022-06-22T09:59:00Z</dcterms:modified>
</cp:coreProperties>
</file>