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3D477" w14:textId="77777777" w:rsidR="00BC7F9D" w:rsidRDefault="00BC7F9D" w:rsidP="00BC7F9D">
      <w:pPr>
        <w:pStyle w:val="NormalWeb"/>
        <w:rPr>
          <w:rFonts w:ascii="Calibri" w:hAnsi="Calibri" w:cs="Calibri"/>
          <w:b/>
        </w:rPr>
      </w:pPr>
      <w:bookmarkStart w:id="0" w:name="_GoBack"/>
      <w:bookmarkEnd w:id="0"/>
      <w:r w:rsidRPr="00E5370F">
        <w:rPr>
          <w:rFonts w:ascii="Calibri" w:hAnsi="Calibri" w:cs="Calibri"/>
          <w:b/>
        </w:rPr>
        <w:t xml:space="preserve">Hypothesis: </w:t>
      </w:r>
    </w:p>
    <w:p w14:paraId="6ADA9BEA" w14:textId="77777777" w:rsidR="00BC7F9D" w:rsidRDefault="00BC7F9D" w:rsidP="00BC7F9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100 Victorian 35-year-old adults with mild depression who receive new treatment of fish oil tablet (one tablet per day for ten weeks) will have a higher percentage of positive responses (</w:t>
      </w:r>
      <w:proofErr w:type="spellStart"/>
      <w:r>
        <w:rPr>
          <w:rFonts w:ascii="Calibri" w:hAnsi="Calibri" w:cs="Calibri"/>
        </w:rPr>
        <w:t>ie</w:t>
      </w:r>
      <w:proofErr w:type="spellEnd"/>
      <w:r>
        <w:rPr>
          <w:rFonts w:ascii="Calibri" w:hAnsi="Calibri" w:cs="Calibri"/>
        </w:rPr>
        <w:t xml:space="preserve">. percentages of strongly agree and agree) than 100 Victorian 35-year-old adults with mild depression who receive a placebo. </w:t>
      </w:r>
    </w:p>
    <w:p w14:paraId="4D6E82C8" w14:textId="77777777" w:rsidR="00BC7F9D" w:rsidRPr="001863E9" w:rsidRDefault="00BC7F9D" w:rsidP="00BC7F9D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Variables</w:t>
      </w:r>
      <w:r w:rsidRPr="001863E9">
        <w:rPr>
          <w:rFonts w:ascii="Calibri" w:hAnsi="Calibri" w:cs="Calibri"/>
          <w:b/>
        </w:rPr>
        <w:t>:</w:t>
      </w:r>
    </w:p>
    <w:p w14:paraId="239C0CA6" w14:textId="77777777" w:rsidR="00BC7F9D" w:rsidRDefault="00BC7F9D" w:rsidP="00BC7F9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independent variable (IV – categorical variable) is either IV condition 1 – the new treatment of fish oil tablet or IV condition 2 – the placebo condition, </w:t>
      </w:r>
      <w:proofErr w:type="spellStart"/>
      <w:r>
        <w:rPr>
          <w:rFonts w:ascii="Calibri" w:hAnsi="Calibri" w:cs="Calibri"/>
        </w:rPr>
        <w:t>ie</w:t>
      </w:r>
      <w:proofErr w:type="spellEnd"/>
      <w:r>
        <w:rPr>
          <w:rFonts w:ascii="Calibri" w:hAnsi="Calibri" w:cs="Calibri"/>
        </w:rPr>
        <w:t xml:space="preserve">. no fish oil ingredients. </w:t>
      </w:r>
    </w:p>
    <w:p w14:paraId="349DF58D" w14:textId="77777777" w:rsidR="00BC7F9D" w:rsidRPr="005E14CF" w:rsidRDefault="00BC7F9D" w:rsidP="00BC7F9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The de</w:t>
      </w:r>
      <w:r w:rsidRPr="00DA2877">
        <w:rPr>
          <w:rFonts w:ascii="Calibri" w:hAnsi="Calibri" w:cs="Calibri"/>
        </w:rPr>
        <w:t>pendent variable</w:t>
      </w:r>
      <w:r>
        <w:rPr>
          <w:rFonts w:ascii="Calibri" w:hAnsi="Calibri" w:cs="Calibri"/>
        </w:rPr>
        <w:t xml:space="preserve"> (DV – continuous variable) is the percentage of positive responses (strongly agree and agree) from 3 questions. </w:t>
      </w:r>
    </w:p>
    <w:p w14:paraId="2AE1F35F" w14:textId="77777777" w:rsidR="00BC7F9D" w:rsidRPr="00360E4E" w:rsidRDefault="00BC7F9D" w:rsidP="00BC7F9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controlled variables are the standardised time taken of survey (continuous variable), random allocation of participants to IV condition 1 or 2 (categorical variable) and a double-blind procedure (categorical variable) will be used. </w:t>
      </w:r>
    </w:p>
    <w:p w14:paraId="759E8F1C" w14:textId="77777777" w:rsidR="003B438C" w:rsidRPr="00BC7F9D" w:rsidRDefault="00BC7F9D">
      <w:pPr>
        <w:rPr>
          <w:lang w:val="en-AU"/>
        </w:rPr>
      </w:pPr>
    </w:p>
    <w:sectPr w:rsidR="003B438C" w:rsidRPr="00BC7F9D" w:rsidSect="009D16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9D"/>
    <w:rsid w:val="000950C4"/>
    <w:rsid w:val="000A4D7B"/>
    <w:rsid w:val="000B628A"/>
    <w:rsid w:val="000E2E0C"/>
    <w:rsid w:val="000E7A73"/>
    <w:rsid w:val="00103820"/>
    <w:rsid w:val="00123232"/>
    <w:rsid w:val="00152C63"/>
    <w:rsid w:val="00231AE5"/>
    <w:rsid w:val="002470BC"/>
    <w:rsid w:val="00254799"/>
    <w:rsid w:val="00257FD1"/>
    <w:rsid w:val="002736FF"/>
    <w:rsid w:val="002A7A7D"/>
    <w:rsid w:val="002B24F2"/>
    <w:rsid w:val="002E1C16"/>
    <w:rsid w:val="00323D8E"/>
    <w:rsid w:val="00363A2E"/>
    <w:rsid w:val="0037105E"/>
    <w:rsid w:val="00397728"/>
    <w:rsid w:val="003D35A0"/>
    <w:rsid w:val="003E2CB9"/>
    <w:rsid w:val="003F6659"/>
    <w:rsid w:val="00417700"/>
    <w:rsid w:val="00433FCA"/>
    <w:rsid w:val="00450E92"/>
    <w:rsid w:val="00467C04"/>
    <w:rsid w:val="00471278"/>
    <w:rsid w:val="0049555B"/>
    <w:rsid w:val="004C0A89"/>
    <w:rsid w:val="004D2C85"/>
    <w:rsid w:val="004D525A"/>
    <w:rsid w:val="004D5ABF"/>
    <w:rsid w:val="00510105"/>
    <w:rsid w:val="00566127"/>
    <w:rsid w:val="005917A2"/>
    <w:rsid w:val="005A2A55"/>
    <w:rsid w:val="005B09BE"/>
    <w:rsid w:val="005D2E59"/>
    <w:rsid w:val="005D7924"/>
    <w:rsid w:val="00600E20"/>
    <w:rsid w:val="00602EBF"/>
    <w:rsid w:val="00622E0A"/>
    <w:rsid w:val="00646ADA"/>
    <w:rsid w:val="00684D8D"/>
    <w:rsid w:val="006C3CB3"/>
    <w:rsid w:val="00703C28"/>
    <w:rsid w:val="00703E9F"/>
    <w:rsid w:val="00711A85"/>
    <w:rsid w:val="007419D8"/>
    <w:rsid w:val="00761658"/>
    <w:rsid w:val="00766A49"/>
    <w:rsid w:val="007A024C"/>
    <w:rsid w:val="007A6543"/>
    <w:rsid w:val="007C7982"/>
    <w:rsid w:val="007D4203"/>
    <w:rsid w:val="007E11CD"/>
    <w:rsid w:val="007E3E99"/>
    <w:rsid w:val="00837C2E"/>
    <w:rsid w:val="0085282E"/>
    <w:rsid w:val="00870AAF"/>
    <w:rsid w:val="008A4950"/>
    <w:rsid w:val="008B4E3F"/>
    <w:rsid w:val="008C7206"/>
    <w:rsid w:val="008D5136"/>
    <w:rsid w:val="008E1964"/>
    <w:rsid w:val="008E6020"/>
    <w:rsid w:val="008E717B"/>
    <w:rsid w:val="009260FD"/>
    <w:rsid w:val="009974A2"/>
    <w:rsid w:val="009B5BD0"/>
    <w:rsid w:val="009C5A20"/>
    <w:rsid w:val="009D1604"/>
    <w:rsid w:val="009D53AC"/>
    <w:rsid w:val="009E6545"/>
    <w:rsid w:val="009E7B4C"/>
    <w:rsid w:val="00A02F88"/>
    <w:rsid w:val="00A03B06"/>
    <w:rsid w:val="00A04D85"/>
    <w:rsid w:val="00A226D1"/>
    <w:rsid w:val="00AB0D3B"/>
    <w:rsid w:val="00AB7747"/>
    <w:rsid w:val="00AD3E1A"/>
    <w:rsid w:val="00AE73C7"/>
    <w:rsid w:val="00AF29CA"/>
    <w:rsid w:val="00B60F03"/>
    <w:rsid w:val="00B613A0"/>
    <w:rsid w:val="00BA0278"/>
    <w:rsid w:val="00BC0D90"/>
    <w:rsid w:val="00BC7F9D"/>
    <w:rsid w:val="00BE4F7F"/>
    <w:rsid w:val="00C227BA"/>
    <w:rsid w:val="00C23471"/>
    <w:rsid w:val="00C337B8"/>
    <w:rsid w:val="00C62F72"/>
    <w:rsid w:val="00CE0BF5"/>
    <w:rsid w:val="00D077BB"/>
    <w:rsid w:val="00D12A0E"/>
    <w:rsid w:val="00D51E40"/>
    <w:rsid w:val="00D52300"/>
    <w:rsid w:val="00D848E8"/>
    <w:rsid w:val="00DA137B"/>
    <w:rsid w:val="00DC29CD"/>
    <w:rsid w:val="00E33FC2"/>
    <w:rsid w:val="00E40686"/>
    <w:rsid w:val="00E410DB"/>
    <w:rsid w:val="00EC204C"/>
    <w:rsid w:val="00EE0661"/>
    <w:rsid w:val="00EE32E9"/>
    <w:rsid w:val="00EF0C90"/>
    <w:rsid w:val="00EF7CF3"/>
    <w:rsid w:val="00F05A2F"/>
    <w:rsid w:val="00F30276"/>
    <w:rsid w:val="00F36F93"/>
    <w:rsid w:val="00F631B7"/>
    <w:rsid w:val="00FC41D2"/>
    <w:rsid w:val="00FC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36B93"/>
  <w14:defaultImageDpi w14:val="32767"/>
  <w15:chartTrackingRefBased/>
  <w15:docId w15:val="{BE0D2C21-3F89-5342-9732-B35AF395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7F9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Yi KONG</dc:creator>
  <cp:keywords/>
  <dc:description/>
  <cp:lastModifiedBy>Qian Yi KONG</cp:lastModifiedBy>
  <cp:revision>1</cp:revision>
  <dcterms:created xsi:type="dcterms:W3CDTF">2020-09-06T16:17:00Z</dcterms:created>
  <dcterms:modified xsi:type="dcterms:W3CDTF">2020-09-06T16:19:00Z</dcterms:modified>
</cp:coreProperties>
</file>