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1/22/2024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synchronization test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 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11DD1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2PM-3PM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Right FN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(x=150, y=0, z=5000)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Ephys 001, Video 001: 120 s, spike on channel A24,9,15; A8,26,7,6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Ephys 002, Video 002: e-stim on channel A15,16,17,18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  <w:t xml:space="preserve">Mouse face move when stim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E-stim setting: 200ms in total, 2.5ms -10uA, 2.5ms 10uA, 35ms refractory period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Cannot tell which specific part of face is moving (has eye gel on eyes). Mouse move face even if anesthetized. Stim-movement occurs at 5000 um and 4000 um, but not at 3000 um.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For 4 channel enabled, </w:t>
      </w:r>
      <w:r w:rsidDel="00000000" w:rsidR="00000000" w:rsidRPr="00000000">
        <w:rPr>
          <w:color w:val="1d1c1d"/>
          <w:sz w:val="23"/>
          <w:szCs w:val="23"/>
          <w:highlight w:val="yellow"/>
          <w:rtl w:val="0"/>
        </w:rPr>
        <w:t xml:space="preserve">5 uA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 current is also enough to trigger movement.</w:t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