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57A6C" w14:textId="77777777" w:rsidR="00A65B91" w:rsidRDefault="00C70B9D">
      <w:pPr>
        <w:spacing w:before="2600"/>
        <w:jc w:val="center"/>
      </w:pPr>
      <w:r>
        <w:rPr>
          <w:b/>
          <w:color w:val="223A5E"/>
          <w:sz w:val="48"/>
        </w:rPr>
        <w:t>Airbnb Market Entry and Positioning Advisory Report</w:t>
      </w:r>
    </w:p>
    <w:p w14:paraId="713673A6" w14:textId="5A25C2DD" w:rsidR="00A65B91" w:rsidRDefault="00C70B9D">
      <w:pPr>
        <w:spacing w:before="160"/>
        <w:jc w:val="center"/>
      </w:pPr>
      <w:r>
        <w:rPr>
          <w:i/>
          <w:color w:val="5A5A5A"/>
          <w:sz w:val="26"/>
        </w:rPr>
        <w:t>Bangladesh • Market Analysis Report</w:t>
      </w:r>
    </w:p>
    <w:tbl>
      <w:tblPr>
        <w:tblW w:w="0" w:type="auto"/>
        <w:jc w:val="center"/>
        <w:tblLook w:val="04A0" w:firstRow="1" w:lastRow="0" w:firstColumn="1" w:lastColumn="0" w:noHBand="0" w:noVBand="1"/>
      </w:tblPr>
      <w:tblGrid>
        <w:gridCol w:w="9866"/>
      </w:tblGrid>
      <w:tr w:rsidR="00A65B91" w14:paraId="7723C213" w14:textId="77777777">
        <w:trPr>
          <w:jc w:val="center"/>
        </w:trPr>
        <w:tc>
          <w:tcPr>
            <w:tcW w:w="9866" w:type="dxa"/>
            <w:shd w:val="clear" w:color="auto" w:fill="EEF3F8"/>
            <w:tcMar>
              <w:top w:w="120" w:type="dxa"/>
              <w:left w:w="160" w:type="dxa"/>
              <w:bottom w:w="120" w:type="dxa"/>
              <w:right w:w="160" w:type="dxa"/>
            </w:tcMar>
          </w:tcPr>
          <w:p w14:paraId="50FF8F28" w14:textId="15BA98CD" w:rsidR="00A65B91" w:rsidRDefault="00C70B9D">
            <w:pPr>
              <w:spacing w:after="80"/>
            </w:pPr>
            <w:r>
              <w:rPr>
                <w:b/>
                <w:color w:val="223A5E"/>
                <w:sz w:val="21"/>
              </w:rPr>
              <w:t>Integrated evidence base</w:t>
            </w:r>
            <w:r>
              <w:rPr>
                <w:b/>
                <w:color w:val="223A5E"/>
                <w:sz w:val="21"/>
              </w:rPr>
              <w:br/>
            </w:r>
            <w:r>
              <w:rPr>
                <w:sz w:val="19"/>
              </w:rPr>
              <w:t>This report combines two evidence streams: (1) division-level dashboard analysis built from listing, host, review, and amenity data collected from web scrapping from AibBnB website, and (2) a secondary research synthesis covering Bangladesh STR context, rents, furnishing costs, seasonality, legal/tax considerations, and operating benchmarks. External market figures are treated as contextual benchmarks; dashboard metrics remain the primary basis for division selection and positioning recommendations.</w:t>
            </w:r>
          </w:p>
        </w:tc>
      </w:tr>
    </w:tbl>
    <w:p w14:paraId="31D95D39" w14:textId="77777777" w:rsidR="00A65B91" w:rsidRDefault="00A65B91"/>
    <w:p w14:paraId="7ADA132B" w14:textId="77777777" w:rsidR="00A65B91" w:rsidRDefault="00C70B9D">
      <w:pPr>
        <w:spacing w:before="800"/>
        <w:jc w:val="center"/>
      </w:pPr>
      <w:r>
        <w:rPr>
          <w:color w:val="464646"/>
          <w:sz w:val="22"/>
        </w:rPr>
        <w:t>Prepared for investment screening and market selection</w:t>
      </w:r>
    </w:p>
    <w:p w14:paraId="7565126E" w14:textId="20DCE990" w:rsidR="00A65B91" w:rsidRDefault="00C70B9D" w:rsidP="00597A11">
      <w:r>
        <w:br w:type="page"/>
      </w:r>
    </w:p>
    <w:p w14:paraId="4180F7B4" w14:textId="77777777" w:rsidR="00A65B91" w:rsidRDefault="00C70B9D">
      <w:pPr>
        <w:pStyle w:val="Heading1"/>
        <w:spacing w:before="240" w:after="120"/>
      </w:pPr>
      <w:r>
        <w:rPr>
          <w:color w:val="223A5E"/>
          <w:sz w:val="30"/>
        </w:rPr>
        <w:lastRenderedPageBreak/>
        <w:t>1. Executive Summary</w:t>
      </w:r>
    </w:p>
    <w:p w14:paraId="0BAB840B" w14:textId="77777777" w:rsidR="00A65B91" w:rsidRDefault="00C70B9D">
      <w:pPr>
        <w:spacing w:after="120"/>
      </w:pPr>
      <w:r>
        <w:t>Bangladesh's short-term rental market is still early-stage, but the combined dashboard and secondary research evidence points to a real, expanding opportunity rather than a purely speculative one. The dashboard shows a national Airbnb sample of 1,347 listings, 4,608 reviews, an average nightly price of $49.07, and an average listing rating of 4.72. The host side is also meaningful: 613 distinct hosts, 206 superhosts, a market-level average response rate of 80.96%, and 36.3% new hosts - a sign that supply is still being formed rather than fully locked up by incumbents.</w:t>
      </w:r>
    </w:p>
    <w:p w14:paraId="4DF550B1" w14:textId="77777777" w:rsidR="00A65B91" w:rsidRDefault="00C70B9D">
      <w:pPr>
        <w:spacing w:after="120"/>
      </w:pPr>
      <w:r>
        <w:t>The clearest recommendation is to prioritize Dhaka as the first market for entry. It combines the deepest supply base, the highest review volume, strong guest ratings, high host responsiveness, and the broadest range of benchmarkable competitors. Chattogram is the best secondary market for a client willing to accept a smaller, less mature market in exchange for higher average nightly pricing and lighter competitive density. Barisal reads as a premium niche, but its sample is too thin to support a high-confidence capital decision. Rajshahi appears better suited to a value-oriented strategy than a premium play, while Rangpur and Mymensingh are too shallow for a strong first-entry recommendation.</w:t>
      </w:r>
    </w:p>
    <w:p w14:paraId="57258711" w14:textId="77777777" w:rsidR="00A65B91" w:rsidRDefault="00C70B9D">
      <w:pPr>
        <w:spacing w:after="120"/>
      </w:pPr>
      <w:r>
        <w:t>This report goes beyond market entry alone. It translates the dashboard into a client decision framework covering market selection, target guest segments, pricing posture, amenity requirements, operating model, seasonality exposure, legal/tax due diligence, and a phased action plan. The central conclusion is that a successful Bangladesh Airbnb strategy is not just a real-estate move - it is an operating model decision. In the strongest market, Dhaka, the best fit is a well-equipped, professionally managed, mid-range furnished unit positioned for business, expat, medical, relocation, and medium-stay demand rather than a bare-minimum leisure listing.</w:t>
      </w:r>
    </w:p>
    <w:tbl>
      <w:tblPr>
        <w:tblW w:w="0" w:type="auto"/>
        <w:jc w:val="center"/>
        <w:tblLook w:val="04A0" w:firstRow="1" w:lastRow="0" w:firstColumn="1" w:lastColumn="0" w:noHBand="0" w:noVBand="1"/>
      </w:tblPr>
      <w:tblGrid>
        <w:gridCol w:w="9866"/>
      </w:tblGrid>
      <w:tr w:rsidR="00A65B91" w14:paraId="150ABFAF" w14:textId="77777777">
        <w:trPr>
          <w:jc w:val="center"/>
        </w:trPr>
        <w:tc>
          <w:tcPr>
            <w:tcW w:w="9866" w:type="dxa"/>
            <w:shd w:val="clear" w:color="auto" w:fill="EEF3F8"/>
            <w:tcMar>
              <w:top w:w="120" w:type="dxa"/>
              <w:left w:w="160" w:type="dxa"/>
              <w:bottom w:w="120" w:type="dxa"/>
              <w:right w:w="160" w:type="dxa"/>
            </w:tcMar>
          </w:tcPr>
          <w:p w14:paraId="55BB7F2D" w14:textId="77777777" w:rsidR="00A65B91" w:rsidRDefault="00C70B9D">
            <w:pPr>
              <w:spacing w:after="80"/>
            </w:pPr>
            <w:r>
              <w:rPr>
                <w:b/>
                <w:color w:val="223A5E"/>
                <w:sz w:val="21"/>
              </w:rPr>
              <w:t>Primary recommendation</w:t>
            </w:r>
            <w:r>
              <w:rPr>
                <w:b/>
                <w:color w:val="223A5E"/>
                <w:sz w:val="21"/>
              </w:rPr>
              <w:br/>
            </w:r>
            <w:r>
              <w:rPr>
                <w:sz w:val="19"/>
              </w:rPr>
              <w:t>Enter Dhaka first with a mid-range, guest-ready, fully equipped furnished unit in a business, medical, or airport-connected neighborhood. Keep Chattogram as the most credible second-market option. Treat Barisal as a niche watchlist rather than a first investment. Avoid relying on thin markets or headline nightly rates without occupancy and cost validation.</w:t>
            </w:r>
          </w:p>
        </w:tc>
      </w:tr>
    </w:tbl>
    <w:p w14:paraId="58686A59" w14:textId="77777777" w:rsidR="00A65B91" w:rsidRDefault="00A65B91"/>
    <w:p w14:paraId="38C4C700" w14:textId="77777777" w:rsidR="00A65B91" w:rsidRDefault="00C70B9D">
      <w:pPr>
        <w:pStyle w:val="Heading1"/>
        <w:spacing w:before="240" w:after="120"/>
      </w:pPr>
      <w:r>
        <w:rPr>
          <w:color w:val="223A5E"/>
          <w:sz w:val="30"/>
        </w:rPr>
        <w:t>2. Scope, Evidence Base, and Methodology</w:t>
      </w:r>
    </w:p>
    <w:p w14:paraId="70132FB3" w14:textId="77777777" w:rsidR="00A65B91" w:rsidRDefault="00C70B9D">
      <w:pPr>
        <w:pStyle w:val="Heading2"/>
        <w:spacing w:before="160" w:after="80"/>
      </w:pPr>
      <w:r>
        <w:rPr>
          <w:color w:val="345681"/>
          <w:sz w:val="24"/>
        </w:rPr>
        <w:t>2.1 Objective of the advisory</w:t>
      </w:r>
    </w:p>
    <w:p w14:paraId="2B19EB07" w14:textId="77777777" w:rsidR="00A65B91" w:rsidRDefault="00C70B9D">
      <w:pPr>
        <w:spacing w:after="120"/>
      </w:pPr>
      <w:r>
        <w:t>The purpose of this report is to help a prospective Airbnb investor or operator evaluate where to enter the Bangladesh short-term rental market, how to position a new listing, what level of amenity and operating quality is required, and which risks require further diligence before capital is committed.</w:t>
      </w:r>
    </w:p>
    <w:p w14:paraId="1C5A2EE8" w14:textId="77777777" w:rsidR="00A65B91" w:rsidRDefault="00C70B9D">
      <w:pPr>
        <w:pStyle w:val="Heading2"/>
        <w:spacing w:before="160" w:after="80"/>
      </w:pPr>
      <w:r>
        <w:rPr>
          <w:color w:val="345681"/>
          <w:sz w:val="24"/>
        </w:rPr>
        <w:t>2.2 Evidence used in this report</w:t>
      </w:r>
    </w:p>
    <w:p w14:paraId="4AC63912" w14:textId="77777777" w:rsidR="00A65B91" w:rsidRDefault="00C70B9D">
      <w:pPr>
        <w:pStyle w:val="ListBullet"/>
        <w:spacing w:after="60" w:line="264" w:lineRule="auto"/>
      </w:pPr>
      <w:r>
        <w:t>Primary evidence: division-level dashboard built from Airbnb listing, host, review, and amenity data scraped directly from the Airbnb platform using Python and Selenium, covering listing metrics, host metrics, and facilities metrics for Bangladesh overall and for Dhaka, Chattogram, Khulna, Sylhet, Rajshahi, Barisal, Rangpur, and Mymensingh.</w:t>
      </w:r>
    </w:p>
    <w:p w14:paraId="3188499F" w14:textId="77777777" w:rsidR="00A65B91" w:rsidRDefault="00C70B9D">
      <w:pPr>
        <w:pStyle w:val="ListBullet"/>
        <w:spacing w:after="60" w:line="264" w:lineRule="auto"/>
      </w:pPr>
      <w:r>
        <w:t>Secondary evidence: independent secondary research conducted across tourism reports, industry publications, rent benchmarks, and Bangladesh market sources, covering platform benchmarks (e.g., Dhaka occupancy, annual revenue, supply growth), tourism demand drivers, rent ranges, furnishing cost estimates, operating cost bands, and Bangladesh legal/tax context.</w:t>
      </w:r>
    </w:p>
    <w:p w14:paraId="547D29AF" w14:textId="77777777" w:rsidR="00A65B91" w:rsidRDefault="00C70B9D">
      <w:pPr>
        <w:pStyle w:val="ListBullet"/>
        <w:spacing w:after="60" w:line="264" w:lineRule="auto"/>
      </w:pPr>
      <w:r>
        <w:t>Analytical stance: dashboard figures are treated as the main basis for relative attractiveness by division; secondary research is used to explain demand drivers, seasonality, economics, and due-diligence requirements.</w:t>
      </w:r>
    </w:p>
    <w:p w14:paraId="60B4FF01" w14:textId="77777777" w:rsidR="00A65B91" w:rsidRDefault="00C70B9D">
      <w:pPr>
        <w:pStyle w:val="Heading2"/>
        <w:spacing w:before="160" w:after="80"/>
      </w:pPr>
      <w:r>
        <w:rPr>
          <w:color w:val="345681"/>
          <w:sz w:val="24"/>
        </w:rPr>
        <w:t>2.3 Analytical limitations</w:t>
      </w:r>
    </w:p>
    <w:p w14:paraId="1AA7C0CD" w14:textId="77777777" w:rsidR="00A65B91" w:rsidRDefault="00C70B9D">
      <w:pPr>
        <w:pStyle w:val="ListBullet"/>
        <w:spacing w:after="60" w:line="264" w:lineRule="auto"/>
      </w:pPr>
      <w:r>
        <w:t>The dashboard does not directly provide occupancy, booking conversion, monthly gross revenue, or full property-level cost data.</w:t>
      </w:r>
    </w:p>
    <w:p w14:paraId="309C407B" w14:textId="77777777" w:rsidR="00A65B91" w:rsidRDefault="00C70B9D">
      <w:pPr>
        <w:pStyle w:val="ListBullet"/>
        <w:spacing w:after="60" w:line="264" w:lineRule="auto"/>
      </w:pPr>
      <w:r>
        <w:t>Several smaller divisions have thin samples, missing price fields, or limited review counts, so market signals there should be treated cautiously.</w:t>
      </w:r>
    </w:p>
    <w:p w14:paraId="75627783" w14:textId="77777777" w:rsidR="00A65B91" w:rsidRDefault="00C70B9D">
      <w:pPr>
        <w:pStyle w:val="ListBullet"/>
        <w:spacing w:after="60" w:line="264" w:lineRule="auto"/>
      </w:pPr>
      <w:r>
        <w:lastRenderedPageBreak/>
        <w:t>The secondary market benchmarks were compiled through independent desk research across publicly available sources. They are appropriate for context, but should still be verified before binding investment decisions are made.</w:t>
      </w:r>
    </w:p>
    <w:p w14:paraId="5D8FCBB5" w14:textId="77777777" w:rsidR="00A65B91" w:rsidRDefault="00C70B9D">
      <w:pPr>
        <w:pStyle w:val="Heading1"/>
        <w:spacing w:before="240" w:after="120"/>
      </w:pPr>
      <w:r>
        <w:rPr>
          <w:color w:val="223A5E"/>
          <w:sz w:val="30"/>
        </w:rPr>
        <w:t>3. Bangladesh Short-Term Rental Market Context</w:t>
      </w:r>
    </w:p>
    <w:p w14:paraId="7086C6FA" w14:textId="77777777" w:rsidR="00A65B91" w:rsidRDefault="00C70B9D">
      <w:pPr>
        <w:pStyle w:val="Heading2"/>
        <w:spacing w:before="160" w:after="80"/>
      </w:pPr>
      <w:r>
        <w:rPr>
          <w:color w:val="345681"/>
          <w:sz w:val="24"/>
        </w:rPr>
        <w:t>3.1 National context and growth signals</w:t>
      </w:r>
    </w:p>
    <w:p w14:paraId="7D8C580E" w14:textId="77777777" w:rsidR="00A65B91" w:rsidRDefault="00C70B9D">
      <w:pPr>
        <w:spacing w:after="120"/>
      </w:pPr>
      <w:r>
        <w:t>The secondary research suggests that Bangladesh's STR market is still forming but not static. Tourism contributed roughly 3.02% to GDP in 2024, while vacation-rental demand is being supported by a mix of domestic tourism, business mobility, expat stays, and medical travel. Dhaka appears to be the dominant Airbnb market nationally, with roughly 653 active listings as of early 2026 in the external benchmark, alongside 42% median occupancy and approximate annual revenue of BDT 691K (~$5,700). The same note highlights 44.8% year-on-year supply growth in Dhaka in 2025 and 13% revenue growth per listing, which is a useful sign that demand may be expanding faster than supply in the most mature market.</w:t>
      </w:r>
    </w:p>
    <w:p w14:paraId="0C1B1F61" w14:textId="77777777" w:rsidR="00A65B91" w:rsidRDefault="00C70B9D">
      <w:pPr>
        <w:pStyle w:val="Heading2"/>
        <w:spacing w:before="160" w:after="80"/>
      </w:pPr>
      <w:r>
        <w:rPr>
          <w:color w:val="345681"/>
          <w:sz w:val="24"/>
        </w:rPr>
        <w:t>3.2 Relevant guest segments in Bangladesh</w:t>
      </w:r>
    </w:p>
    <w:p w14:paraId="078F7D52" w14:textId="77777777" w:rsidR="00A65B91" w:rsidRDefault="00C70B9D">
      <w:pPr>
        <w:pStyle w:val="ListBullet"/>
        <w:spacing w:after="60" w:line="264" w:lineRule="auto"/>
      </w:pPr>
      <w:r>
        <w:t>Corporate and expat travelers, especially in Dhaka, where business hotels reportedly rely heavily on long-stay corporate demand from banking, telecom, aviation, NGOs, development agencies, and multinational project teams.</w:t>
      </w:r>
    </w:p>
    <w:p w14:paraId="26C7654B" w14:textId="77777777" w:rsidR="00A65B91" w:rsidRDefault="00C70B9D">
      <w:pPr>
        <w:pStyle w:val="ListBullet"/>
        <w:spacing w:after="60" w:line="264" w:lineRule="auto"/>
      </w:pPr>
      <w:r>
        <w:t>Medical travelers, particularly around major Dhaka hospitals and treatment corridors where furnished apartments can outperform hotels on space, kitchen access, and caregiver accommodation.</w:t>
      </w:r>
    </w:p>
    <w:p w14:paraId="4A85B20E" w14:textId="77777777" w:rsidR="00A65B91" w:rsidRDefault="00C70B9D">
      <w:pPr>
        <w:pStyle w:val="ListBullet"/>
        <w:spacing w:after="60" w:line="264" w:lineRule="auto"/>
      </w:pPr>
      <w:r>
        <w:t>Diaspora visitors, especially in Sylhet where UK-based NRB travel creates family-oriented and seasonal housing demand.</w:t>
      </w:r>
    </w:p>
    <w:p w14:paraId="060CABB1" w14:textId="77777777" w:rsidR="00A65B91" w:rsidRDefault="00C70B9D">
      <w:pPr>
        <w:pStyle w:val="ListBullet"/>
        <w:spacing w:after="60" w:line="264" w:lineRule="auto"/>
      </w:pPr>
      <w:r>
        <w:t>Domestic leisure travelers, whose importance rises sharply in peak travel months and in tourism-linked locations.</w:t>
      </w:r>
    </w:p>
    <w:p w14:paraId="2F23484B" w14:textId="77777777" w:rsidR="00A65B91" w:rsidRDefault="00C70B9D">
      <w:pPr>
        <w:pStyle w:val="ListBullet"/>
        <w:spacing w:after="60" w:line="264" w:lineRule="auto"/>
      </w:pPr>
      <w:r>
        <w:t>Students, relocating professionals, and inter-city medium-stay guests who need furnished accommodation for several days to several weeks.</w:t>
      </w:r>
    </w:p>
    <w:p w14:paraId="7799386A" w14:textId="77777777" w:rsidR="00A65B91" w:rsidRDefault="00C70B9D">
      <w:pPr>
        <w:pStyle w:val="Heading2"/>
        <w:spacing w:before="160" w:after="80"/>
      </w:pPr>
      <w:r>
        <w:rPr>
          <w:color w:val="345681"/>
          <w:sz w:val="24"/>
        </w:rPr>
        <w:t>3.3 Demand stability versus seasonality</w:t>
      </w:r>
    </w:p>
    <w:p w14:paraId="4C162C2C" w14:textId="77777777" w:rsidR="00A65B91" w:rsidRDefault="00C70B9D">
      <w:pPr>
        <w:spacing w:after="120"/>
      </w:pPr>
      <w:r>
        <w:t>The note indicates that Bangladesh domestic tourism is highly seasonal, with more than 80% of domestic travel concentrated between November and March. This matters for markets driven by leisure demand. By contrast, Dhaka and Chattogram benefit from year-round corporate and business-linked movement, which should make them structurally more stable than purely tourism-led cities. Political disruption remains a real downside risk: the secondary note cites hotel occupancy in Dhaka falling from roughly 78-80% to 30-35% during 2024 unrest. Investors therefore need both market selection discipline and a cashflow stress case.</w:t>
      </w:r>
    </w:p>
    <w:p w14:paraId="09A982F5" w14:textId="052F9D91" w:rsidR="00A65B91" w:rsidRDefault="00C70B9D">
      <w:pPr>
        <w:pStyle w:val="Heading1"/>
        <w:spacing w:before="240" w:after="120"/>
      </w:pPr>
      <w:r>
        <w:rPr>
          <w:color w:val="223A5E"/>
          <w:sz w:val="30"/>
        </w:rPr>
        <w:t>4. Primary Analysis Snapshot: What the Scraped Data Shows</w:t>
      </w:r>
    </w:p>
    <w:p w14:paraId="4711A4DB" w14:textId="77777777" w:rsidR="00A65B91" w:rsidRDefault="00C70B9D">
      <w:pPr>
        <w:pStyle w:val="Heading2"/>
        <w:spacing w:before="160" w:after="80"/>
      </w:pPr>
      <w:r>
        <w:rPr>
          <w:color w:val="345681"/>
          <w:sz w:val="24"/>
        </w:rPr>
        <w:t>4.1 National dashboard picture</w:t>
      </w:r>
    </w:p>
    <w:tbl>
      <w:tblPr>
        <w:tblStyle w:val="TableGrid"/>
        <w:tblW w:w="0" w:type="auto"/>
        <w:jc w:val="center"/>
        <w:tblLook w:val="04A0" w:firstRow="1" w:lastRow="0" w:firstColumn="1" w:lastColumn="0" w:noHBand="0" w:noVBand="1"/>
      </w:tblPr>
      <w:tblGrid>
        <w:gridCol w:w="2466"/>
        <w:gridCol w:w="2466"/>
        <w:gridCol w:w="2466"/>
        <w:gridCol w:w="2466"/>
      </w:tblGrid>
      <w:tr w:rsidR="00A65B91" w14:paraId="0E17BD48" w14:textId="77777777">
        <w:trPr>
          <w:jc w:val="center"/>
        </w:trPr>
        <w:tc>
          <w:tcPr>
            <w:tcW w:w="2466" w:type="dxa"/>
            <w:shd w:val="clear" w:color="auto" w:fill="223A5E"/>
            <w:tcMar>
              <w:top w:w="90" w:type="dxa"/>
              <w:left w:w="110" w:type="dxa"/>
              <w:bottom w:w="90" w:type="dxa"/>
              <w:right w:w="110" w:type="dxa"/>
            </w:tcMar>
            <w:vAlign w:val="center"/>
          </w:tcPr>
          <w:p w14:paraId="0AEE33B6" w14:textId="77777777" w:rsidR="00A65B91" w:rsidRDefault="00C70B9D">
            <w:pPr>
              <w:spacing w:before="40" w:after="40" w:line="252" w:lineRule="auto"/>
              <w:jc w:val="center"/>
            </w:pPr>
            <w:r>
              <w:rPr>
                <w:b/>
                <w:color w:val="FFFFFF"/>
                <w:sz w:val="19"/>
              </w:rPr>
              <w:t>Metric</w:t>
            </w:r>
          </w:p>
        </w:tc>
        <w:tc>
          <w:tcPr>
            <w:tcW w:w="2466" w:type="dxa"/>
            <w:shd w:val="clear" w:color="auto" w:fill="223A5E"/>
            <w:tcMar>
              <w:top w:w="90" w:type="dxa"/>
              <w:left w:w="110" w:type="dxa"/>
              <w:bottom w:w="90" w:type="dxa"/>
              <w:right w:w="110" w:type="dxa"/>
            </w:tcMar>
            <w:vAlign w:val="center"/>
          </w:tcPr>
          <w:p w14:paraId="6F4291E6" w14:textId="77777777" w:rsidR="00A65B91" w:rsidRDefault="00C70B9D">
            <w:pPr>
              <w:spacing w:before="40" w:after="40" w:line="252" w:lineRule="auto"/>
              <w:jc w:val="center"/>
            </w:pPr>
            <w:r>
              <w:rPr>
                <w:b/>
                <w:color w:val="FFFFFF"/>
                <w:sz w:val="19"/>
              </w:rPr>
              <w:t>Value</w:t>
            </w:r>
          </w:p>
        </w:tc>
        <w:tc>
          <w:tcPr>
            <w:tcW w:w="2466" w:type="dxa"/>
            <w:shd w:val="clear" w:color="auto" w:fill="223A5E"/>
            <w:tcMar>
              <w:top w:w="90" w:type="dxa"/>
              <w:left w:w="110" w:type="dxa"/>
              <w:bottom w:w="90" w:type="dxa"/>
              <w:right w:w="110" w:type="dxa"/>
            </w:tcMar>
            <w:vAlign w:val="center"/>
          </w:tcPr>
          <w:p w14:paraId="67E41B04" w14:textId="77777777" w:rsidR="00A65B91" w:rsidRDefault="00C70B9D">
            <w:pPr>
              <w:spacing w:before="40" w:after="40" w:line="252" w:lineRule="auto"/>
              <w:jc w:val="center"/>
            </w:pPr>
            <w:r>
              <w:rPr>
                <w:b/>
                <w:color w:val="FFFFFF"/>
                <w:sz w:val="19"/>
              </w:rPr>
              <w:t>Metric</w:t>
            </w:r>
          </w:p>
        </w:tc>
        <w:tc>
          <w:tcPr>
            <w:tcW w:w="2466" w:type="dxa"/>
            <w:shd w:val="clear" w:color="auto" w:fill="223A5E"/>
            <w:tcMar>
              <w:top w:w="90" w:type="dxa"/>
              <w:left w:w="110" w:type="dxa"/>
              <w:bottom w:w="90" w:type="dxa"/>
              <w:right w:w="110" w:type="dxa"/>
            </w:tcMar>
            <w:vAlign w:val="center"/>
          </w:tcPr>
          <w:p w14:paraId="34ED4909" w14:textId="77777777" w:rsidR="00A65B91" w:rsidRDefault="00C70B9D">
            <w:pPr>
              <w:spacing w:before="40" w:after="40" w:line="252" w:lineRule="auto"/>
              <w:jc w:val="center"/>
            </w:pPr>
            <w:r>
              <w:rPr>
                <w:b/>
                <w:color w:val="FFFFFF"/>
                <w:sz w:val="19"/>
              </w:rPr>
              <w:t>Value</w:t>
            </w:r>
          </w:p>
        </w:tc>
      </w:tr>
      <w:tr w:rsidR="00A65B91" w14:paraId="171DFF79" w14:textId="77777777">
        <w:trPr>
          <w:jc w:val="center"/>
        </w:trPr>
        <w:tc>
          <w:tcPr>
            <w:tcW w:w="2466" w:type="dxa"/>
            <w:shd w:val="clear" w:color="auto" w:fill="F4F6F8"/>
            <w:tcMar>
              <w:top w:w="90" w:type="dxa"/>
              <w:left w:w="110" w:type="dxa"/>
              <w:bottom w:w="90" w:type="dxa"/>
              <w:right w:w="110" w:type="dxa"/>
            </w:tcMar>
            <w:vAlign w:val="center"/>
          </w:tcPr>
          <w:p w14:paraId="3FC532EC" w14:textId="77777777" w:rsidR="00A65B91" w:rsidRDefault="00C70B9D" w:rsidP="006408FB">
            <w:pPr>
              <w:spacing w:before="40" w:after="40" w:line="252" w:lineRule="auto"/>
              <w:jc w:val="center"/>
            </w:pPr>
            <w:r>
              <w:rPr>
                <w:sz w:val="18"/>
              </w:rPr>
              <w:t>Avg nightly price</w:t>
            </w:r>
          </w:p>
        </w:tc>
        <w:tc>
          <w:tcPr>
            <w:tcW w:w="2466" w:type="dxa"/>
            <w:shd w:val="clear" w:color="auto" w:fill="F4F6F8"/>
            <w:tcMar>
              <w:top w:w="90" w:type="dxa"/>
              <w:left w:w="110" w:type="dxa"/>
              <w:bottom w:w="90" w:type="dxa"/>
              <w:right w:w="110" w:type="dxa"/>
            </w:tcMar>
            <w:vAlign w:val="center"/>
          </w:tcPr>
          <w:p w14:paraId="0B3F5151" w14:textId="77777777" w:rsidR="00A65B91" w:rsidRDefault="00C70B9D" w:rsidP="006408FB">
            <w:pPr>
              <w:spacing w:before="40" w:after="40" w:line="252" w:lineRule="auto"/>
              <w:jc w:val="center"/>
            </w:pPr>
            <w:r>
              <w:rPr>
                <w:sz w:val="18"/>
              </w:rPr>
              <w:t>$49.07</w:t>
            </w:r>
          </w:p>
        </w:tc>
        <w:tc>
          <w:tcPr>
            <w:tcW w:w="2466" w:type="dxa"/>
            <w:shd w:val="clear" w:color="auto" w:fill="F4F6F8"/>
            <w:tcMar>
              <w:top w:w="90" w:type="dxa"/>
              <w:left w:w="110" w:type="dxa"/>
              <w:bottom w:w="90" w:type="dxa"/>
              <w:right w:w="110" w:type="dxa"/>
            </w:tcMar>
            <w:vAlign w:val="center"/>
          </w:tcPr>
          <w:p w14:paraId="171F5224" w14:textId="77777777" w:rsidR="00A65B91" w:rsidRDefault="00C70B9D" w:rsidP="006408FB">
            <w:pPr>
              <w:spacing w:before="40" w:after="40" w:line="252" w:lineRule="auto"/>
              <w:jc w:val="center"/>
            </w:pPr>
            <w:r>
              <w:rPr>
                <w:sz w:val="18"/>
              </w:rPr>
              <w:t>Avg listing rating</w:t>
            </w:r>
          </w:p>
        </w:tc>
        <w:tc>
          <w:tcPr>
            <w:tcW w:w="2466" w:type="dxa"/>
            <w:shd w:val="clear" w:color="auto" w:fill="F4F6F8"/>
            <w:tcMar>
              <w:top w:w="90" w:type="dxa"/>
              <w:left w:w="110" w:type="dxa"/>
              <w:bottom w:w="90" w:type="dxa"/>
              <w:right w:w="110" w:type="dxa"/>
            </w:tcMar>
            <w:vAlign w:val="center"/>
          </w:tcPr>
          <w:p w14:paraId="279EEE05" w14:textId="77777777" w:rsidR="00A65B91" w:rsidRDefault="00C70B9D" w:rsidP="006408FB">
            <w:pPr>
              <w:spacing w:before="40" w:after="40" w:line="252" w:lineRule="auto"/>
              <w:jc w:val="center"/>
            </w:pPr>
            <w:r>
              <w:rPr>
                <w:sz w:val="18"/>
              </w:rPr>
              <w:t>4.72</w:t>
            </w:r>
          </w:p>
        </w:tc>
      </w:tr>
      <w:tr w:rsidR="00A65B91" w14:paraId="7BDDC9A2" w14:textId="77777777">
        <w:trPr>
          <w:jc w:val="center"/>
        </w:trPr>
        <w:tc>
          <w:tcPr>
            <w:tcW w:w="2466" w:type="dxa"/>
            <w:tcMar>
              <w:top w:w="90" w:type="dxa"/>
              <w:left w:w="110" w:type="dxa"/>
              <w:bottom w:w="90" w:type="dxa"/>
              <w:right w:w="110" w:type="dxa"/>
            </w:tcMar>
            <w:vAlign w:val="center"/>
          </w:tcPr>
          <w:p w14:paraId="74DE8DA2" w14:textId="77777777" w:rsidR="00A65B91" w:rsidRDefault="00C70B9D" w:rsidP="006408FB">
            <w:pPr>
              <w:spacing w:before="40" w:after="40" w:line="252" w:lineRule="auto"/>
              <w:jc w:val="center"/>
            </w:pPr>
            <w:r>
              <w:rPr>
                <w:sz w:val="18"/>
              </w:rPr>
              <w:t>Total reviews</w:t>
            </w:r>
          </w:p>
        </w:tc>
        <w:tc>
          <w:tcPr>
            <w:tcW w:w="2466" w:type="dxa"/>
            <w:tcMar>
              <w:top w:w="90" w:type="dxa"/>
              <w:left w:w="110" w:type="dxa"/>
              <w:bottom w:w="90" w:type="dxa"/>
              <w:right w:w="110" w:type="dxa"/>
            </w:tcMar>
            <w:vAlign w:val="center"/>
          </w:tcPr>
          <w:p w14:paraId="18EC8766" w14:textId="77777777" w:rsidR="00A65B91" w:rsidRDefault="00C70B9D" w:rsidP="006408FB">
            <w:pPr>
              <w:spacing w:before="40" w:after="40" w:line="252" w:lineRule="auto"/>
              <w:jc w:val="center"/>
            </w:pPr>
            <w:r>
              <w:rPr>
                <w:sz w:val="18"/>
              </w:rPr>
              <w:t>4,608</w:t>
            </w:r>
          </w:p>
        </w:tc>
        <w:tc>
          <w:tcPr>
            <w:tcW w:w="2466" w:type="dxa"/>
            <w:tcMar>
              <w:top w:w="90" w:type="dxa"/>
              <w:left w:w="110" w:type="dxa"/>
              <w:bottom w:w="90" w:type="dxa"/>
              <w:right w:w="110" w:type="dxa"/>
            </w:tcMar>
            <w:vAlign w:val="center"/>
          </w:tcPr>
          <w:p w14:paraId="45131E29" w14:textId="77777777" w:rsidR="00A65B91" w:rsidRDefault="00C70B9D" w:rsidP="006408FB">
            <w:pPr>
              <w:spacing w:before="40" w:after="40" w:line="252" w:lineRule="auto"/>
              <w:jc w:val="center"/>
            </w:pPr>
            <w:r>
              <w:rPr>
                <w:sz w:val="18"/>
              </w:rPr>
              <w:t>Total listings</w:t>
            </w:r>
          </w:p>
        </w:tc>
        <w:tc>
          <w:tcPr>
            <w:tcW w:w="2466" w:type="dxa"/>
            <w:tcMar>
              <w:top w:w="90" w:type="dxa"/>
              <w:left w:w="110" w:type="dxa"/>
              <w:bottom w:w="90" w:type="dxa"/>
              <w:right w:w="110" w:type="dxa"/>
            </w:tcMar>
            <w:vAlign w:val="center"/>
          </w:tcPr>
          <w:p w14:paraId="0978D706" w14:textId="77777777" w:rsidR="00A65B91" w:rsidRDefault="00C70B9D" w:rsidP="006408FB">
            <w:pPr>
              <w:spacing w:before="40" w:after="40" w:line="252" w:lineRule="auto"/>
              <w:jc w:val="center"/>
            </w:pPr>
            <w:r>
              <w:rPr>
                <w:sz w:val="18"/>
              </w:rPr>
              <w:t>1,347</w:t>
            </w:r>
          </w:p>
        </w:tc>
      </w:tr>
      <w:tr w:rsidR="00A65B91" w14:paraId="02EF227D" w14:textId="77777777">
        <w:trPr>
          <w:jc w:val="center"/>
        </w:trPr>
        <w:tc>
          <w:tcPr>
            <w:tcW w:w="2466" w:type="dxa"/>
            <w:shd w:val="clear" w:color="auto" w:fill="F4F6F8"/>
            <w:tcMar>
              <w:top w:w="90" w:type="dxa"/>
              <w:left w:w="110" w:type="dxa"/>
              <w:bottom w:w="90" w:type="dxa"/>
              <w:right w:w="110" w:type="dxa"/>
            </w:tcMar>
            <w:vAlign w:val="center"/>
          </w:tcPr>
          <w:p w14:paraId="068D3E7F" w14:textId="77777777" w:rsidR="00A65B91" w:rsidRDefault="00C70B9D" w:rsidP="006408FB">
            <w:pPr>
              <w:spacing w:before="40" w:after="40" w:line="252" w:lineRule="auto"/>
              <w:jc w:val="center"/>
            </w:pPr>
            <w:r>
              <w:rPr>
                <w:sz w:val="18"/>
              </w:rPr>
              <w:t>Distinct hosts</w:t>
            </w:r>
          </w:p>
        </w:tc>
        <w:tc>
          <w:tcPr>
            <w:tcW w:w="2466" w:type="dxa"/>
            <w:shd w:val="clear" w:color="auto" w:fill="F4F6F8"/>
            <w:tcMar>
              <w:top w:w="90" w:type="dxa"/>
              <w:left w:w="110" w:type="dxa"/>
              <w:bottom w:w="90" w:type="dxa"/>
              <w:right w:w="110" w:type="dxa"/>
            </w:tcMar>
            <w:vAlign w:val="center"/>
          </w:tcPr>
          <w:p w14:paraId="73A33E50" w14:textId="77777777" w:rsidR="00A65B91" w:rsidRDefault="00C70B9D" w:rsidP="006408FB">
            <w:pPr>
              <w:spacing w:before="40" w:after="40" w:line="252" w:lineRule="auto"/>
              <w:jc w:val="center"/>
            </w:pPr>
            <w:r>
              <w:rPr>
                <w:sz w:val="18"/>
              </w:rPr>
              <w:t>613</w:t>
            </w:r>
          </w:p>
        </w:tc>
        <w:tc>
          <w:tcPr>
            <w:tcW w:w="2466" w:type="dxa"/>
            <w:shd w:val="clear" w:color="auto" w:fill="F4F6F8"/>
            <w:tcMar>
              <w:top w:w="90" w:type="dxa"/>
              <w:left w:w="110" w:type="dxa"/>
              <w:bottom w:w="90" w:type="dxa"/>
              <w:right w:w="110" w:type="dxa"/>
            </w:tcMar>
            <w:vAlign w:val="center"/>
          </w:tcPr>
          <w:p w14:paraId="589A7B65" w14:textId="77777777" w:rsidR="00A65B91" w:rsidRDefault="00C70B9D" w:rsidP="006408FB">
            <w:pPr>
              <w:spacing w:before="40" w:after="40" w:line="252" w:lineRule="auto"/>
              <w:jc w:val="center"/>
            </w:pPr>
            <w:r>
              <w:rPr>
                <w:sz w:val="18"/>
              </w:rPr>
              <w:t>Superhosts</w:t>
            </w:r>
          </w:p>
        </w:tc>
        <w:tc>
          <w:tcPr>
            <w:tcW w:w="2466" w:type="dxa"/>
            <w:shd w:val="clear" w:color="auto" w:fill="F4F6F8"/>
            <w:tcMar>
              <w:top w:w="90" w:type="dxa"/>
              <w:left w:w="110" w:type="dxa"/>
              <w:bottom w:w="90" w:type="dxa"/>
              <w:right w:w="110" w:type="dxa"/>
            </w:tcMar>
            <w:vAlign w:val="center"/>
          </w:tcPr>
          <w:p w14:paraId="397CC71B" w14:textId="77777777" w:rsidR="00A65B91" w:rsidRDefault="00C70B9D" w:rsidP="006408FB">
            <w:pPr>
              <w:spacing w:before="40" w:after="40" w:line="252" w:lineRule="auto"/>
              <w:jc w:val="center"/>
            </w:pPr>
            <w:r>
              <w:rPr>
                <w:sz w:val="18"/>
              </w:rPr>
              <w:t>206</w:t>
            </w:r>
          </w:p>
        </w:tc>
      </w:tr>
      <w:tr w:rsidR="00A65B91" w14:paraId="3E4B7DCD" w14:textId="77777777">
        <w:trPr>
          <w:jc w:val="center"/>
        </w:trPr>
        <w:tc>
          <w:tcPr>
            <w:tcW w:w="2466" w:type="dxa"/>
            <w:tcMar>
              <w:top w:w="90" w:type="dxa"/>
              <w:left w:w="110" w:type="dxa"/>
              <w:bottom w:w="90" w:type="dxa"/>
              <w:right w:w="110" w:type="dxa"/>
            </w:tcMar>
            <w:vAlign w:val="center"/>
          </w:tcPr>
          <w:p w14:paraId="2B0ADA6C" w14:textId="77777777" w:rsidR="00A65B91" w:rsidRDefault="00C70B9D" w:rsidP="006408FB">
            <w:pPr>
              <w:spacing w:before="40" w:after="40" w:line="252" w:lineRule="auto"/>
              <w:jc w:val="center"/>
            </w:pPr>
            <w:r>
              <w:rPr>
                <w:sz w:val="18"/>
              </w:rPr>
              <w:t>Avg host response rate</w:t>
            </w:r>
          </w:p>
        </w:tc>
        <w:tc>
          <w:tcPr>
            <w:tcW w:w="2466" w:type="dxa"/>
            <w:tcMar>
              <w:top w:w="90" w:type="dxa"/>
              <w:left w:w="110" w:type="dxa"/>
              <w:bottom w:w="90" w:type="dxa"/>
              <w:right w:w="110" w:type="dxa"/>
            </w:tcMar>
            <w:vAlign w:val="center"/>
          </w:tcPr>
          <w:p w14:paraId="5A6A1FE0" w14:textId="77777777" w:rsidR="00A65B91" w:rsidRDefault="00C70B9D" w:rsidP="006408FB">
            <w:pPr>
              <w:spacing w:before="40" w:after="40" w:line="252" w:lineRule="auto"/>
              <w:jc w:val="center"/>
            </w:pPr>
            <w:r>
              <w:rPr>
                <w:sz w:val="18"/>
              </w:rPr>
              <w:t>80.96%</w:t>
            </w:r>
          </w:p>
        </w:tc>
        <w:tc>
          <w:tcPr>
            <w:tcW w:w="2466" w:type="dxa"/>
            <w:tcMar>
              <w:top w:w="90" w:type="dxa"/>
              <w:left w:w="110" w:type="dxa"/>
              <w:bottom w:w="90" w:type="dxa"/>
              <w:right w:w="110" w:type="dxa"/>
            </w:tcMar>
            <w:vAlign w:val="center"/>
          </w:tcPr>
          <w:p w14:paraId="3455BF86" w14:textId="77777777" w:rsidR="00A65B91" w:rsidRDefault="00C70B9D" w:rsidP="006408FB">
            <w:pPr>
              <w:spacing w:before="40" w:after="40" w:line="252" w:lineRule="auto"/>
              <w:jc w:val="center"/>
            </w:pPr>
            <w:r>
              <w:rPr>
                <w:sz w:val="18"/>
              </w:rPr>
              <w:t>Superhost proportion</w:t>
            </w:r>
          </w:p>
        </w:tc>
        <w:tc>
          <w:tcPr>
            <w:tcW w:w="2466" w:type="dxa"/>
            <w:tcMar>
              <w:top w:w="90" w:type="dxa"/>
              <w:left w:w="110" w:type="dxa"/>
              <w:bottom w:w="90" w:type="dxa"/>
              <w:right w:w="110" w:type="dxa"/>
            </w:tcMar>
            <w:vAlign w:val="center"/>
          </w:tcPr>
          <w:p w14:paraId="58A147C7" w14:textId="77777777" w:rsidR="00A65B91" w:rsidRDefault="00C70B9D" w:rsidP="006408FB">
            <w:pPr>
              <w:spacing w:before="40" w:after="40" w:line="252" w:lineRule="auto"/>
              <w:jc w:val="center"/>
            </w:pPr>
            <w:r>
              <w:rPr>
                <w:sz w:val="18"/>
              </w:rPr>
              <w:t>15.3%</w:t>
            </w:r>
          </w:p>
        </w:tc>
      </w:tr>
    </w:tbl>
    <w:p w14:paraId="7125F983" w14:textId="77777777" w:rsidR="00A65B91" w:rsidRDefault="00C70B9D">
      <w:pPr>
        <w:spacing w:after="120"/>
      </w:pPr>
      <w:r>
        <w:t>At a national level, the scraped dashboard data suggests a market that is neither tiny nor fully mature. Review volume is meaningful, ratings are strong, and host responsiveness is reasonably high. Importantly, 36.3% of hosts fall into the new-host category in the dashboard, which suggests an active supply pipeline and confirms that the market is still open to differentiated new entrants.</w:t>
      </w:r>
    </w:p>
    <w:p w14:paraId="58E200D6" w14:textId="77777777" w:rsidR="00A65B91" w:rsidRDefault="00C70B9D">
      <w:pPr>
        <w:pStyle w:val="Heading2"/>
        <w:spacing w:before="160" w:after="80"/>
      </w:pPr>
      <w:r>
        <w:rPr>
          <w:color w:val="345681"/>
          <w:sz w:val="24"/>
        </w:rPr>
        <w:lastRenderedPageBreak/>
        <w:t>4.2 What the national dashboard implies</w:t>
      </w:r>
    </w:p>
    <w:p w14:paraId="71470175" w14:textId="77777777" w:rsidR="00A65B91" w:rsidRDefault="00C70B9D">
      <w:pPr>
        <w:pStyle w:val="ListBullet"/>
        <w:spacing w:after="60" w:line="264" w:lineRule="auto"/>
      </w:pPr>
      <w:r>
        <w:t>The market is large enough to support structured benchmarking, especially in Dhaka and Chattogram.</w:t>
      </w:r>
    </w:p>
    <w:p w14:paraId="4C0FDF0A" w14:textId="77777777" w:rsidR="00A65B91" w:rsidRDefault="00C70B9D">
      <w:pPr>
        <w:pStyle w:val="ListBullet"/>
        <w:spacing w:after="60" w:line="264" w:lineRule="auto"/>
      </w:pPr>
      <w:r>
        <w:t>Guest satisfaction signals are generally strong, which implies that quality and consistency matter.</w:t>
      </w:r>
    </w:p>
    <w:p w14:paraId="17EC4E17" w14:textId="77777777" w:rsidR="00A65B91" w:rsidRDefault="00C70B9D">
      <w:pPr>
        <w:pStyle w:val="ListBullet"/>
        <w:spacing w:after="60" w:line="264" w:lineRule="auto"/>
      </w:pPr>
      <w:r>
        <w:t>Host operations are a competitive variable in their own right: the dashboard shows meaningful superhost presence and wide variation in response rates by market.</w:t>
      </w:r>
    </w:p>
    <w:p w14:paraId="5F7C7875" w14:textId="77777777" w:rsidR="00A65B91" w:rsidRDefault="00C70B9D">
      <w:pPr>
        <w:pStyle w:val="ListBullet"/>
        <w:spacing w:after="60" w:line="264" w:lineRule="auto"/>
      </w:pPr>
      <w:r>
        <w:t>Amenities are not an afterthought. High counts for WiFi, parking, air conditioning, fire-safety features, washers, and refrigerators suggest that functionality, comfort, and reliability are embedded in guest expectations.</w:t>
      </w:r>
    </w:p>
    <w:p w14:paraId="452611DF" w14:textId="77777777" w:rsidR="00A65B91" w:rsidRDefault="00C70B9D">
      <w:pPr>
        <w:pStyle w:val="Heading1"/>
        <w:spacing w:before="240" w:after="120"/>
      </w:pPr>
      <w:r>
        <w:rPr>
          <w:color w:val="223A5E"/>
          <w:sz w:val="30"/>
        </w:rPr>
        <w:t>5. Division Comparison and Attractiveness</w:t>
      </w:r>
    </w:p>
    <w:p w14:paraId="60886B08" w14:textId="77777777" w:rsidR="00A65B91" w:rsidRDefault="00C70B9D">
      <w:pPr>
        <w:pStyle w:val="Heading2"/>
        <w:spacing w:before="160" w:after="80"/>
      </w:pPr>
      <w:r>
        <w:rPr>
          <w:color w:val="345681"/>
          <w:sz w:val="24"/>
        </w:rPr>
        <w:t>5.1 Comparative dashboard table</w:t>
      </w:r>
    </w:p>
    <w:tbl>
      <w:tblPr>
        <w:tblStyle w:val="TableGrid"/>
        <w:tblW w:w="0" w:type="auto"/>
        <w:jc w:val="center"/>
        <w:tblLook w:val="04A0" w:firstRow="1" w:lastRow="0" w:firstColumn="1" w:lastColumn="0" w:noHBand="0" w:noVBand="1"/>
      </w:tblPr>
      <w:tblGrid>
        <w:gridCol w:w="1233"/>
        <w:gridCol w:w="1220"/>
        <w:gridCol w:w="1222"/>
        <w:gridCol w:w="1222"/>
        <w:gridCol w:w="1216"/>
        <w:gridCol w:w="1226"/>
        <w:gridCol w:w="1220"/>
        <w:gridCol w:w="1527"/>
      </w:tblGrid>
      <w:tr w:rsidR="00A65B91" w14:paraId="5D3D2D2B" w14:textId="77777777">
        <w:trPr>
          <w:jc w:val="center"/>
        </w:trPr>
        <w:tc>
          <w:tcPr>
            <w:tcW w:w="1233" w:type="dxa"/>
            <w:shd w:val="clear" w:color="auto" w:fill="223A5E"/>
            <w:tcMar>
              <w:top w:w="90" w:type="dxa"/>
              <w:left w:w="110" w:type="dxa"/>
              <w:bottom w:w="90" w:type="dxa"/>
              <w:right w:w="110" w:type="dxa"/>
            </w:tcMar>
            <w:vAlign w:val="center"/>
          </w:tcPr>
          <w:p w14:paraId="6C7EF5A2" w14:textId="77777777" w:rsidR="00A65B91" w:rsidRDefault="00C70B9D">
            <w:pPr>
              <w:spacing w:before="40" w:after="40" w:line="252" w:lineRule="auto"/>
              <w:jc w:val="center"/>
            </w:pPr>
            <w:r>
              <w:rPr>
                <w:b/>
                <w:color w:val="FFFFFF"/>
                <w:sz w:val="19"/>
              </w:rPr>
              <w:t>Division</w:t>
            </w:r>
          </w:p>
        </w:tc>
        <w:tc>
          <w:tcPr>
            <w:tcW w:w="1233" w:type="dxa"/>
            <w:shd w:val="clear" w:color="auto" w:fill="223A5E"/>
            <w:tcMar>
              <w:top w:w="90" w:type="dxa"/>
              <w:left w:w="110" w:type="dxa"/>
              <w:bottom w:w="90" w:type="dxa"/>
              <w:right w:w="110" w:type="dxa"/>
            </w:tcMar>
            <w:vAlign w:val="center"/>
          </w:tcPr>
          <w:p w14:paraId="5DA23EFC" w14:textId="77777777" w:rsidR="00A65B91" w:rsidRDefault="00C70B9D">
            <w:pPr>
              <w:spacing w:before="40" w:after="40" w:line="252" w:lineRule="auto"/>
              <w:jc w:val="center"/>
            </w:pPr>
            <w:r>
              <w:rPr>
                <w:b/>
                <w:color w:val="FFFFFF"/>
                <w:sz w:val="19"/>
              </w:rPr>
              <w:t>Listings</w:t>
            </w:r>
          </w:p>
        </w:tc>
        <w:tc>
          <w:tcPr>
            <w:tcW w:w="1233" w:type="dxa"/>
            <w:shd w:val="clear" w:color="auto" w:fill="223A5E"/>
            <w:tcMar>
              <w:top w:w="90" w:type="dxa"/>
              <w:left w:w="110" w:type="dxa"/>
              <w:bottom w:w="90" w:type="dxa"/>
              <w:right w:w="110" w:type="dxa"/>
            </w:tcMar>
            <w:vAlign w:val="center"/>
          </w:tcPr>
          <w:p w14:paraId="3457428F" w14:textId="77777777" w:rsidR="00A65B91" w:rsidRDefault="00C70B9D">
            <w:pPr>
              <w:spacing w:before="40" w:after="40" w:line="252" w:lineRule="auto"/>
              <w:jc w:val="center"/>
            </w:pPr>
            <w:r>
              <w:rPr>
                <w:b/>
                <w:color w:val="FFFFFF"/>
                <w:sz w:val="19"/>
              </w:rPr>
              <w:t>Reviews</w:t>
            </w:r>
          </w:p>
        </w:tc>
        <w:tc>
          <w:tcPr>
            <w:tcW w:w="1233" w:type="dxa"/>
            <w:shd w:val="clear" w:color="auto" w:fill="223A5E"/>
            <w:tcMar>
              <w:top w:w="90" w:type="dxa"/>
              <w:left w:w="110" w:type="dxa"/>
              <w:bottom w:w="90" w:type="dxa"/>
              <w:right w:w="110" w:type="dxa"/>
            </w:tcMar>
            <w:vAlign w:val="center"/>
          </w:tcPr>
          <w:p w14:paraId="12A128D7" w14:textId="77777777" w:rsidR="00A65B91" w:rsidRDefault="00C70B9D">
            <w:pPr>
              <w:spacing w:before="40" w:after="40" w:line="252" w:lineRule="auto"/>
              <w:jc w:val="center"/>
            </w:pPr>
            <w:r>
              <w:rPr>
                <w:b/>
                <w:color w:val="FFFFFF"/>
                <w:sz w:val="19"/>
              </w:rPr>
              <w:t>Avg Price</w:t>
            </w:r>
          </w:p>
        </w:tc>
        <w:tc>
          <w:tcPr>
            <w:tcW w:w="1233" w:type="dxa"/>
            <w:shd w:val="clear" w:color="auto" w:fill="223A5E"/>
            <w:tcMar>
              <w:top w:w="90" w:type="dxa"/>
              <w:left w:w="110" w:type="dxa"/>
              <w:bottom w:w="90" w:type="dxa"/>
              <w:right w:w="110" w:type="dxa"/>
            </w:tcMar>
            <w:vAlign w:val="center"/>
          </w:tcPr>
          <w:p w14:paraId="4BA87F1F" w14:textId="77777777" w:rsidR="00A65B91" w:rsidRDefault="00C70B9D">
            <w:pPr>
              <w:spacing w:before="40" w:after="40" w:line="252" w:lineRule="auto"/>
              <w:jc w:val="center"/>
            </w:pPr>
            <w:r>
              <w:rPr>
                <w:b/>
                <w:color w:val="FFFFFF"/>
                <w:sz w:val="19"/>
              </w:rPr>
              <w:t>Avg Rating</w:t>
            </w:r>
          </w:p>
        </w:tc>
        <w:tc>
          <w:tcPr>
            <w:tcW w:w="1233" w:type="dxa"/>
            <w:shd w:val="clear" w:color="auto" w:fill="223A5E"/>
            <w:tcMar>
              <w:top w:w="90" w:type="dxa"/>
              <w:left w:w="110" w:type="dxa"/>
              <w:bottom w:w="90" w:type="dxa"/>
              <w:right w:w="110" w:type="dxa"/>
            </w:tcMar>
            <w:vAlign w:val="center"/>
          </w:tcPr>
          <w:p w14:paraId="1A2198E3" w14:textId="77777777" w:rsidR="00A65B91" w:rsidRDefault="00C70B9D">
            <w:pPr>
              <w:spacing w:before="40" w:after="40" w:line="252" w:lineRule="auto"/>
              <w:jc w:val="center"/>
            </w:pPr>
            <w:r>
              <w:rPr>
                <w:b/>
                <w:color w:val="FFFFFF"/>
                <w:sz w:val="19"/>
              </w:rPr>
              <w:t>Avg Response</w:t>
            </w:r>
          </w:p>
        </w:tc>
        <w:tc>
          <w:tcPr>
            <w:tcW w:w="1233" w:type="dxa"/>
            <w:shd w:val="clear" w:color="auto" w:fill="223A5E"/>
            <w:tcMar>
              <w:top w:w="90" w:type="dxa"/>
              <w:left w:w="110" w:type="dxa"/>
              <w:bottom w:w="90" w:type="dxa"/>
              <w:right w:w="110" w:type="dxa"/>
            </w:tcMar>
            <w:vAlign w:val="center"/>
          </w:tcPr>
          <w:p w14:paraId="15F30107" w14:textId="77777777" w:rsidR="00A65B91" w:rsidRDefault="00C70B9D">
            <w:pPr>
              <w:spacing w:before="40" w:after="40" w:line="252" w:lineRule="auto"/>
              <w:jc w:val="center"/>
            </w:pPr>
            <w:r>
              <w:rPr>
                <w:b/>
                <w:color w:val="FFFFFF"/>
                <w:sz w:val="19"/>
              </w:rPr>
              <w:t>Distinct Hosts</w:t>
            </w:r>
          </w:p>
        </w:tc>
        <w:tc>
          <w:tcPr>
            <w:tcW w:w="1233" w:type="dxa"/>
            <w:shd w:val="clear" w:color="auto" w:fill="223A5E"/>
            <w:tcMar>
              <w:top w:w="90" w:type="dxa"/>
              <w:left w:w="110" w:type="dxa"/>
              <w:bottom w:w="90" w:type="dxa"/>
              <w:right w:w="110" w:type="dxa"/>
            </w:tcMar>
            <w:vAlign w:val="center"/>
          </w:tcPr>
          <w:p w14:paraId="267B24BD" w14:textId="77777777" w:rsidR="00A65B91" w:rsidRDefault="00C70B9D">
            <w:pPr>
              <w:spacing w:before="40" w:after="40" w:line="252" w:lineRule="auto"/>
              <w:jc w:val="center"/>
            </w:pPr>
            <w:r>
              <w:rPr>
                <w:b/>
                <w:color w:val="FFFFFF"/>
                <w:sz w:val="19"/>
              </w:rPr>
              <w:t>Initial Read</w:t>
            </w:r>
          </w:p>
        </w:tc>
      </w:tr>
      <w:tr w:rsidR="00A65B91" w14:paraId="154ED785" w14:textId="77777777">
        <w:trPr>
          <w:jc w:val="center"/>
        </w:trPr>
        <w:tc>
          <w:tcPr>
            <w:tcW w:w="1233" w:type="dxa"/>
            <w:shd w:val="clear" w:color="auto" w:fill="F4F6F8"/>
            <w:tcMar>
              <w:top w:w="90" w:type="dxa"/>
              <w:left w:w="110" w:type="dxa"/>
              <w:bottom w:w="90" w:type="dxa"/>
              <w:right w:w="110" w:type="dxa"/>
            </w:tcMar>
            <w:vAlign w:val="center"/>
          </w:tcPr>
          <w:p w14:paraId="0EFAA18B" w14:textId="77777777" w:rsidR="00A65B91" w:rsidRDefault="00C70B9D" w:rsidP="006408FB">
            <w:pPr>
              <w:spacing w:before="40" w:after="40" w:line="252" w:lineRule="auto"/>
              <w:jc w:val="center"/>
            </w:pPr>
            <w:r>
              <w:rPr>
                <w:sz w:val="18"/>
              </w:rPr>
              <w:t>Dhaka</w:t>
            </w:r>
          </w:p>
        </w:tc>
        <w:tc>
          <w:tcPr>
            <w:tcW w:w="1233" w:type="dxa"/>
            <w:shd w:val="clear" w:color="auto" w:fill="F4F6F8"/>
            <w:tcMar>
              <w:top w:w="90" w:type="dxa"/>
              <w:left w:w="110" w:type="dxa"/>
              <w:bottom w:w="90" w:type="dxa"/>
              <w:right w:w="110" w:type="dxa"/>
            </w:tcMar>
            <w:vAlign w:val="center"/>
          </w:tcPr>
          <w:p w14:paraId="4013F995" w14:textId="77777777" w:rsidR="00A65B91" w:rsidRDefault="00C70B9D" w:rsidP="006408FB">
            <w:pPr>
              <w:spacing w:before="40" w:after="40" w:line="252" w:lineRule="auto"/>
              <w:jc w:val="center"/>
            </w:pPr>
            <w:r>
              <w:rPr>
                <w:sz w:val="18"/>
              </w:rPr>
              <w:t>656</w:t>
            </w:r>
          </w:p>
        </w:tc>
        <w:tc>
          <w:tcPr>
            <w:tcW w:w="1233" w:type="dxa"/>
            <w:shd w:val="clear" w:color="auto" w:fill="F4F6F8"/>
            <w:tcMar>
              <w:top w:w="90" w:type="dxa"/>
              <w:left w:w="110" w:type="dxa"/>
              <w:bottom w:w="90" w:type="dxa"/>
              <w:right w:w="110" w:type="dxa"/>
            </w:tcMar>
            <w:vAlign w:val="center"/>
          </w:tcPr>
          <w:p w14:paraId="595AA9C9" w14:textId="77777777" w:rsidR="00A65B91" w:rsidRDefault="00C70B9D" w:rsidP="006408FB">
            <w:pPr>
              <w:spacing w:before="40" w:after="40" w:line="252" w:lineRule="auto"/>
              <w:jc w:val="center"/>
            </w:pPr>
            <w:r>
              <w:rPr>
                <w:sz w:val="18"/>
              </w:rPr>
              <w:t>4,206</w:t>
            </w:r>
          </w:p>
        </w:tc>
        <w:tc>
          <w:tcPr>
            <w:tcW w:w="1233" w:type="dxa"/>
            <w:shd w:val="clear" w:color="auto" w:fill="F4F6F8"/>
            <w:tcMar>
              <w:top w:w="90" w:type="dxa"/>
              <w:left w:w="110" w:type="dxa"/>
              <w:bottom w:w="90" w:type="dxa"/>
              <w:right w:w="110" w:type="dxa"/>
            </w:tcMar>
            <w:vAlign w:val="center"/>
          </w:tcPr>
          <w:p w14:paraId="06306A00" w14:textId="77777777" w:rsidR="00A65B91" w:rsidRDefault="00C70B9D" w:rsidP="006408FB">
            <w:pPr>
              <w:spacing w:before="40" w:after="40" w:line="252" w:lineRule="auto"/>
              <w:jc w:val="center"/>
            </w:pPr>
            <w:r>
              <w:rPr>
                <w:sz w:val="18"/>
              </w:rPr>
              <w:t>$40.88</w:t>
            </w:r>
          </w:p>
        </w:tc>
        <w:tc>
          <w:tcPr>
            <w:tcW w:w="1233" w:type="dxa"/>
            <w:shd w:val="clear" w:color="auto" w:fill="F4F6F8"/>
            <w:tcMar>
              <w:top w:w="90" w:type="dxa"/>
              <w:left w:w="110" w:type="dxa"/>
              <w:bottom w:w="90" w:type="dxa"/>
              <w:right w:w="110" w:type="dxa"/>
            </w:tcMar>
            <w:vAlign w:val="center"/>
          </w:tcPr>
          <w:p w14:paraId="0A5F3DA6" w14:textId="77777777" w:rsidR="00A65B91" w:rsidRDefault="00C70B9D" w:rsidP="006408FB">
            <w:pPr>
              <w:spacing w:before="40" w:after="40" w:line="252" w:lineRule="auto"/>
              <w:jc w:val="center"/>
            </w:pPr>
            <w:r>
              <w:rPr>
                <w:sz w:val="18"/>
              </w:rPr>
              <w:t>4.74</w:t>
            </w:r>
          </w:p>
        </w:tc>
        <w:tc>
          <w:tcPr>
            <w:tcW w:w="1233" w:type="dxa"/>
            <w:shd w:val="clear" w:color="auto" w:fill="F4F6F8"/>
            <w:tcMar>
              <w:top w:w="90" w:type="dxa"/>
              <w:left w:w="110" w:type="dxa"/>
              <w:bottom w:w="90" w:type="dxa"/>
              <w:right w:w="110" w:type="dxa"/>
            </w:tcMar>
            <w:vAlign w:val="center"/>
          </w:tcPr>
          <w:p w14:paraId="02CCACE6" w14:textId="77777777" w:rsidR="00A65B91" w:rsidRDefault="00C70B9D" w:rsidP="006408FB">
            <w:pPr>
              <w:spacing w:before="40" w:after="40" w:line="252" w:lineRule="auto"/>
              <w:jc w:val="center"/>
            </w:pPr>
            <w:r>
              <w:rPr>
                <w:sz w:val="18"/>
              </w:rPr>
              <w:t>95.75%</w:t>
            </w:r>
          </w:p>
        </w:tc>
        <w:tc>
          <w:tcPr>
            <w:tcW w:w="1233" w:type="dxa"/>
            <w:shd w:val="clear" w:color="auto" w:fill="F4F6F8"/>
            <w:tcMar>
              <w:top w:w="90" w:type="dxa"/>
              <w:left w:w="110" w:type="dxa"/>
              <w:bottom w:w="90" w:type="dxa"/>
              <w:right w:w="110" w:type="dxa"/>
            </w:tcMar>
            <w:vAlign w:val="center"/>
          </w:tcPr>
          <w:p w14:paraId="0111B1C0" w14:textId="77777777" w:rsidR="00A65B91" w:rsidRDefault="00C70B9D" w:rsidP="006408FB">
            <w:pPr>
              <w:spacing w:before="40" w:after="40" w:line="252" w:lineRule="auto"/>
              <w:jc w:val="center"/>
            </w:pPr>
            <w:r>
              <w:rPr>
                <w:sz w:val="18"/>
              </w:rPr>
              <w:t>344</w:t>
            </w:r>
          </w:p>
        </w:tc>
        <w:tc>
          <w:tcPr>
            <w:tcW w:w="1233" w:type="dxa"/>
            <w:shd w:val="clear" w:color="auto" w:fill="F4F6F8"/>
            <w:tcMar>
              <w:top w:w="90" w:type="dxa"/>
              <w:left w:w="110" w:type="dxa"/>
              <w:bottom w:w="90" w:type="dxa"/>
              <w:right w:w="110" w:type="dxa"/>
            </w:tcMar>
            <w:vAlign w:val="center"/>
          </w:tcPr>
          <w:p w14:paraId="1EDCBD17" w14:textId="77777777" w:rsidR="00A65B91" w:rsidRDefault="00C70B9D" w:rsidP="006408FB">
            <w:pPr>
              <w:spacing w:before="40" w:after="40" w:line="252" w:lineRule="auto"/>
              <w:jc w:val="center"/>
            </w:pPr>
            <w:r>
              <w:rPr>
                <w:sz w:val="18"/>
              </w:rPr>
              <w:t>Best first-entry market</w:t>
            </w:r>
          </w:p>
        </w:tc>
      </w:tr>
      <w:tr w:rsidR="00A65B91" w14:paraId="470AA83F" w14:textId="77777777">
        <w:trPr>
          <w:jc w:val="center"/>
        </w:trPr>
        <w:tc>
          <w:tcPr>
            <w:tcW w:w="1233" w:type="dxa"/>
            <w:tcMar>
              <w:top w:w="90" w:type="dxa"/>
              <w:left w:w="110" w:type="dxa"/>
              <w:bottom w:w="90" w:type="dxa"/>
              <w:right w:w="110" w:type="dxa"/>
            </w:tcMar>
            <w:vAlign w:val="center"/>
          </w:tcPr>
          <w:p w14:paraId="0CAECA8C" w14:textId="77777777" w:rsidR="00A65B91" w:rsidRDefault="00C70B9D" w:rsidP="006408FB">
            <w:pPr>
              <w:spacing w:before="40" w:after="40" w:line="252" w:lineRule="auto"/>
              <w:jc w:val="center"/>
            </w:pPr>
            <w:r>
              <w:rPr>
                <w:sz w:val="18"/>
              </w:rPr>
              <w:t>Chattogram</w:t>
            </w:r>
          </w:p>
        </w:tc>
        <w:tc>
          <w:tcPr>
            <w:tcW w:w="1233" w:type="dxa"/>
            <w:tcMar>
              <w:top w:w="90" w:type="dxa"/>
              <w:left w:w="110" w:type="dxa"/>
              <w:bottom w:w="90" w:type="dxa"/>
              <w:right w:w="110" w:type="dxa"/>
            </w:tcMar>
            <w:vAlign w:val="center"/>
          </w:tcPr>
          <w:p w14:paraId="289D01B0" w14:textId="77777777" w:rsidR="00A65B91" w:rsidRDefault="00C70B9D" w:rsidP="006408FB">
            <w:pPr>
              <w:spacing w:before="40" w:after="40" w:line="252" w:lineRule="auto"/>
              <w:jc w:val="center"/>
            </w:pPr>
            <w:r>
              <w:rPr>
                <w:sz w:val="18"/>
              </w:rPr>
              <w:t>317</w:t>
            </w:r>
          </w:p>
        </w:tc>
        <w:tc>
          <w:tcPr>
            <w:tcW w:w="1233" w:type="dxa"/>
            <w:tcMar>
              <w:top w:w="90" w:type="dxa"/>
              <w:left w:w="110" w:type="dxa"/>
              <w:bottom w:w="90" w:type="dxa"/>
              <w:right w:w="110" w:type="dxa"/>
            </w:tcMar>
            <w:vAlign w:val="center"/>
          </w:tcPr>
          <w:p w14:paraId="2A568E33" w14:textId="77777777" w:rsidR="00A65B91" w:rsidRDefault="00C70B9D" w:rsidP="006408FB">
            <w:pPr>
              <w:spacing w:before="40" w:after="40" w:line="252" w:lineRule="auto"/>
              <w:jc w:val="center"/>
            </w:pPr>
            <w:r>
              <w:rPr>
                <w:sz w:val="18"/>
              </w:rPr>
              <w:t>266</w:t>
            </w:r>
          </w:p>
        </w:tc>
        <w:tc>
          <w:tcPr>
            <w:tcW w:w="1233" w:type="dxa"/>
            <w:tcMar>
              <w:top w:w="90" w:type="dxa"/>
              <w:left w:w="110" w:type="dxa"/>
              <w:bottom w:w="90" w:type="dxa"/>
              <w:right w:w="110" w:type="dxa"/>
            </w:tcMar>
            <w:vAlign w:val="center"/>
          </w:tcPr>
          <w:p w14:paraId="559A00C6" w14:textId="77777777" w:rsidR="00A65B91" w:rsidRDefault="00C70B9D" w:rsidP="006408FB">
            <w:pPr>
              <w:spacing w:before="40" w:after="40" w:line="252" w:lineRule="auto"/>
              <w:jc w:val="center"/>
            </w:pPr>
            <w:r>
              <w:rPr>
                <w:sz w:val="18"/>
              </w:rPr>
              <w:t>$62.57</w:t>
            </w:r>
          </w:p>
        </w:tc>
        <w:tc>
          <w:tcPr>
            <w:tcW w:w="1233" w:type="dxa"/>
            <w:tcMar>
              <w:top w:w="90" w:type="dxa"/>
              <w:left w:w="110" w:type="dxa"/>
              <w:bottom w:w="90" w:type="dxa"/>
              <w:right w:w="110" w:type="dxa"/>
            </w:tcMar>
            <w:vAlign w:val="center"/>
          </w:tcPr>
          <w:p w14:paraId="101C7DA4" w14:textId="77777777" w:rsidR="00A65B91" w:rsidRDefault="00C70B9D" w:rsidP="006408FB">
            <w:pPr>
              <w:spacing w:before="40" w:after="40" w:line="252" w:lineRule="auto"/>
              <w:jc w:val="center"/>
            </w:pPr>
            <w:r>
              <w:rPr>
                <w:sz w:val="18"/>
              </w:rPr>
              <w:t>4.65</w:t>
            </w:r>
          </w:p>
        </w:tc>
        <w:tc>
          <w:tcPr>
            <w:tcW w:w="1233" w:type="dxa"/>
            <w:tcMar>
              <w:top w:w="90" w:type="dxa"/>
              <w:left w:w="110" w:type="dxa"/>
              <w:bottom w:w="90" w:type="dxa"/>
              <w:right w:w="110" w:type="dxa"/>
            </w:tcMar>
            <w:vAlign w:val="center"/>
          </w:tcPr>
          <w:p w14:paraId="300CC64F" w14:textId="77777777" w:rsidR="00A65B91" w:rsidRDefault="00C70B9D" w:rsidP="006408FB">
            <w:pPr>
              <w:spacing w:before="40" w:after="40" w:line="252" w:lineRule="auto"/>
              <w:jc w:val="center"/>
            </w:pPr>
            <w:r>
              <w:rPr>
                <w:sz w:val="18"/>
              </w:rPr>
              <w:t>62.62%</w:t>
            </w:r>
          </w:p>
        </w:tc>
        <w:tc>
          <w:tcPr>
            <w:tcW w:w="1233" w:type="dxa"/>
            <w:tcMar>
              <w:top w:w="90" w:type="dxa"/>
              <w:left w:w="110" w:type="dxa"/>
              <w:bottom w:w="90" w:type="dxa"/>
              <w:right w:w="110" w:type="dxa"/>
            </w:tcMar>
            <w:vAlign w:val="center"/>
          </w:tcPr>
          <w:p w14:paraId="75209458" w14:textId="77777777" w:rsidR="00A65B91" w:rsidRDefault="00C70B9D" w:rsidP="006408FB">
            <w:pPr>
              <w:spacing w:before="40" w:after="40" w:line="252" w:lineRule="auto"/>
              <w:jc w:val="center"/>
            </w:pPr>
            <w:r>
              <w:rPr>
                <w:sz w:val="18"/>
              </w:rPr>
              <w:t>116</w:t>
            </w:r>
          </w:p>
        </w:tc>
        <w:tc>
          <w:tcPr>
            <w:tcW w:w="1233" w:type="dxa"/>
            <w:tcMar>
              <w:top w:w="90" w:type="dxa"/>
              <w:left w:w="110" w:type="dxa"/>
              <w:bottom w:w="90" w:type="dxa"/>
              <w:right w:w="110" w:type="dxa"/>
            </w:tcMar>
            <w:vAlign w:val="center"/>
          </w:tcPr>
          <w:p w14:paraId="7DE7F764" w14:textId="77777777" w:rsidR="00A65B91" w:rsidRDefault="00C70B9D" w:rsidP="006408FB">
            <w:pPr>
              <w:spacing w:before="40" w:after="40" w:line="252" w:lineRule="auto"/>
              <w:jc w:val="center"/>
            </w:pPr>
            <w:r>
              <w:rPr>
                <w:sz w:val="18"/>
              </w:rPr>
              <w:t>Best secondary market</w:t>
            </w:r>
          </w:p>
        </w:tc>
      </w:tr>
      <w:tr w:rsidR="00A65B91" w14:paraId="078A2735" w14:textId="77777777">
        <w:trPr>
          <w:jc w:val="center"/>
        </w:trPr>
        <w:tc>
          <w:tcPr>
            <w:tcW w:w="1233" w:type="dxa"/>
            <w:shd w:val="clear" w:color="auto" w:fill="F4F6F8"/>
            <w:tcMar>
              <w:top w:w="90" w:type="dxa"/>
              <w:left w:w="110" w:type="dxa"/>
              <w:bottom w:w="90" w:type="dxa"/>
              <w:right w:w="110" w:type="dxa"/>
            </w:tcMar>
            <w:vAlign w:val="center"/>
          </w:tcPr>
          <w:p w14:paraId="7EE54888" w14:textId="77777777" w:rsidR="00A65B91" w:rsidRDefault="00C70B9D" w:rsidP="006408FB">
            <w:pPr>
              <w:spacing w:before="40" w:after="40" w:line="252" w:lineRule="auto"/>
              <w:jc w:val="center"/>
            </w:pPr>
            <w:r>
              <w:rPr>
                <w:sz w:val="18"/>
              </w:rPr>
              <w:t>Sylhet</w:t>
            </w:r>
          </w:p>
        </w:tc>
        <w:tc>
          <w:tcPr>
            <w:tcW w:w="1233" w:type="dxa"/>
            <w:shd w:val="clear" w:color="auto" w:fill="F4F6F8"/>
            <w:tcMar>
              <w:top w:w="90" w:type="dxa"/>
              <w:left w:w="110" w:type="dxa"/>
              <w:bottom w:w="90" w:type="dxa"/>
              <w:right w:w="110" w:type="dxa"/>
            </w:tcMar>
            <w:vAlign w:val="center"/>
          </w:tcPr>
          <w:p w14:paraId="3D1C8CD5" w14:textId="77777777" w:rsidR="00A65B91" w:rsidRDefault="00C70B9D" w:rsidP="006408FB">
            <w:pPr>
              <w:spacing w:before="40" w:after="40" w:line="252" w:lineRule="auto"/>
              <w:jc w:val="center"/>
            </w:pPr>
            <w:r>
              <w:rPr>
                <w:sz w:val="18"/>
              </w:rPr>
              <w:t>158</w:t>
            </w:r>
          </w:p>
        </w:tc>
        <w:tc>
          <w:tcPr>
            <w:tcW w:w="1233" w:type="dxa"/>
            <w:shd w:val="clear" w:color="auto" w:fill="F4F6F8"/>
            <w:tcMar>
              <w:top w:w="90" w:type="dxa"/>
              <w:left w:w="110" w:type="dxa"/>
              <w:bottom w:w="90" w:type="dxa"/>
              <w:right w:w="110" w:type="dxa"/>
            </w:tcMar>
            <w:vAlign w:val="center"/>
          </w:tcPr>
          <w:p w14:paraId="0B5391F0" w14:textId="77777777" w:rsidR="00A65B91" w:rsidRDefault="00C70B9D" w:rsidP="006408FB">
            <w:pPr>
              <w:spacing w:before="40" w:after="40" w:line="252" w:lineRule="auto"/>
              <w:jc w:val="center"/>
            </w:pPr>
            <w:r>
              <w:rPr>
                <w:sz w:val="18"/>
              </w:rPr>
              <w:t>85</w:t>
            </w:r>
          </w:p>
        </w:tc>
        <w:tc>
          <w:tcPr>
            <w:tcW w:w="1233" w:type="dxa"/>
            <w:shd w:val="clear" w:color="auto" w:fill="F4F6F8"/>
            <w:tcMar>
              <w:top w:w="90" w:type="dxa"/>
              <w:left w:w="110" w:type="dxa"/>
              <w:bottom w:w="90" w:type="dxa"/>
              <w:right w:w="110" w:type="dxa"/>
            </w:tcMar>
            <w:vAlign w:val="center"/>
          </w:tcPr>
          <w:p w14:paraId="20124D66" w14:textId="77777777" w:rsidR="00A65B91" w:rsidRDefault="00C70B9D" w:rsidP="006408FB">
            <w:pPr>
              <w:spacing w:before="40" w:after="40" w:line="252" w:lineRule="auto"/>
              <w:jc w:val="center"/>
            </w:pPr>
            <w:r>
              <w:rPr>
                <w:sz w:val="18"/>
              </w:rPr>
              <w:t>$36.00</w:t>
            </w:r>
          </w:p>
        </w:tc>
        <w:tc>
          <w:tcPr>
            <w:tcW w:w="1233" w:type="dxa"/>
            <w:shd w:val="clear" w:color="auto" w:fill="F4F6F8"/>
            <w:tcMar>
              <w:top w:w="90" w:type="dxa"/>
              <w:left w:w="110" w:type="dxa"/>
              <w:bottom w:w="90" w:type="dxa"/>
              <w:right w:w="110" w:type="dxa"/>
            </w:tcMar>
            <w:vAlign w:val="center"/>
          </w:tcPr>
          <w:p w14:paraId="79301825" w14:textId="77777777" w:rsidR="00A65B91" w:rsidRDefault="00C70B9D" w:rsidP="006408FB">
            <w:pPr>
              <w:spacing w:before="40" w:after="40" w:line="252" w:lineRule="auto"/>
              <w:jc w:val="center"/>
            </w:pPr>
            <w:r>
              <w:rPr>
                <w:sz w:val="18"/>
              </w:rPr>
              <w:t>4.44</w:t>
            </w:r>
          </w:p>
        </w:tc>
        <w:tc>
          <w:tcPr>
            <w:tcW w:w="1233" w:type="dxa"/>
            <w:shd w:val="clear" w:color="auto" w:fill="F4F6F8"/>
            <w:tcMar>
              <w:top w:w="90" w:type="dxa"/>
              <w:left w:w="110" w:type="dxa"/>
              <w:bottom w:w="90" w:type="dxa"/>
              <w:right w:w="110" w:type="dxa"/>
            </w:tcMar>
            <w:vAlign w:val="center"/>
          </w:tcPr>
          <w:p w14:paraId="451B3854" w14:textId="77777777" w:rsidR="00A65B91" w:rsidRDefault="00C70B9D" w:rsidP="006408FB">
            <w:pPr>
              <w:spacing w:before="40" w:after="40" w:line="252" w:lineRule="auto"/>
              <w:jc w:val="center"/>
            </w:pPr>
            <w:r>
              <w:rPr>
                <w:sz w:val="18"/>
              </w:rPr>
              <w:t>90.54%</w:t>
            </w:r>
          </w:p>
        </w:tc>
        <w:tc>
          <w:tcPr>
            <w:tcW w:w="1233" w:type="dxa"/>
            <w:shd w:val="clear" w:color="auto" w:fill="F4F6F8"/>
            <w:tcMar>
              <w:top w:w="90" w:type="dxa"/>
              <w:left w:w="110" w:type="dxa"/>
              <w:bottom w:w="90" w:type="dxa"/>
              <w:right w:w="110" w:type="dxa"/>
            </w:tcMar>
            <w:vAlign w:val="center"/>
          </w:tcPr>
          <w:p w14:paraId="404CD624" w14:textId="77777777" w:rsidR="00A65B91" w:rsidRDefault="00C70B9D" w:rsidP="006408FB">
            <w:pPr>
              <w:spacing w:before="40" w:after="40" w:line="252" w:lineRule="auto"/>
              <w:jc w:val="center"/>
            </w:pPr>
            <w:r>
              <w:rPr>
                <w:sz w:val="18"/>
              </w:rPr>
              <w:t>113</w:t>
            </w:r>
          </w:p>
        </w:tc>
        <w:tc>
          <w:tcPr>
            <w:tcW w:w="1233" w:type="dxa"/>
            <w:shd w:val="clear" w:color="auto" w:fill="F4F6F8"/>
            <w:tcMar>
              <w:top w:w="90" w:type="dxa"/>
              <w:left w:w="110" w:type="dxa"/>
              <w:bottom w:w="90" w:type="dxa"/>
              <w:right w:w="110" w:type="dxa"/>
            </w:tcMar>
            <w:vAlign w:val="center"/>
          </w:tcPr>
          <w:p w14:paraId="5EC004EF" w14:textId="77777777" w:rsidR="00A65B91" w:rsidRDefault="00C70B9D" w:rsidP="006408FB">
            <w:pPr>
              <w:spacing w:before="40" w:after="40" w:line="252" w:lineRule="auto"/>
              <w:jc w:val="center"/>
            </w:pPr>
            <w:r>
              <w:rPr>
                <w:sz w:val="18"/>
              </w:rPr>
              <w:t>Diaspora/leisure niche</w:t>
            </w:r>
          </w:p>
        </w:tc>
      </w:tr>
      <w:tr w:rsidR="00A65B91" w14:paraId="01734BE2" w14:textId="77777777">
        <w:trPr>
          <w:jc w:val="center"/>
        </w:trPr>
        <w:tc>
          <w:tcPr>
            <w:tcW w:w="1233" w:type="dxa"/>
            <w:tcMar>
              <w:top w:w="90" w:type="dxa"/>
              <w:left w:w="110" w:type="dxa"/>
              <w:bottom w:w="90" w:type="dxa"/>
              <w:right w:w="110" w:type="dxa"/>
            </w:tcMar>
            <w:vAlign w:val="center"/>
          </w:tcPr>
          <w:p w14:paraId="5A0EE2AF" w14:textId="77777777" w:rsidR="00A65B91" w:rsidRDefault="00C70B9D" w:rsidP="006408FB">
            <w:pPr>
              <w:spacing w:before="40" w:after="40" w:line="252" w:lineRule="auto"/>
              <w:jc w:val="center"/>
            </w:pPr>
            <w:r>
              <w:rPr>
                <w:sz w:val="18"/>
              </w:rPr>
              <w:t>Rajshahi</w:t>
            </w:r>
          </w:p>
        </w:tc>
        <w:tc>
          <w:tcPr>
            <w:tcW w:w="1233" w:type="dxa"/>
            <w:tcMar>
              <w:top w:w="90" w:type="dxa"/>
              <w:left w:w="110" w:type="dxa"/>
              <w:bottom w:w="90" w:type="dxa"/>
              <w:right w:w="110" w:type="dxa"/>
            </w:tcMar>
            <w:vAlign w:val="center"/>
          </w:tcPr>
          <w:p w14:paraId="081B49E4" w14:textId="77777777" w:rsidR="00A65B91" w:rsidRDefault="00C70B9D" w:rsidP="006408FB">
            <w:pPr>
              <w:spacing w:before="40" w:after="40" w:line="252" w:lineRule="auto"/>
              <w:jc w:val="center"/>
            </w:pPr>
            <w:r>
              <w:rPr>
                <w:sz w:val="18"/>
              </w:rPr>
              <w:t>67</w:t>
            </w:r>
          </w:p>
        </w:tc>
        <w:tc>
          <w:tcPr>
            <w:tcW w:w="1233" w:type="dxa"/>
            <w:tcMar>
              <w:top w:w="90" w:type="dxa"/>
              <w:left w:w="110" w:type="dxa"/>
              <w:bottom w:w="90" w:type="dxa"/>
              <w:right w:w="110" w:type="dxa"/>
            </w:tcMar>
            <w:vAlign w:val="center"/>
          </w:tcPr>
          <w:p w14:paraId="19EE5C0A" w14:textId="77777777" w:rsidR="00A65B91" w:rsidRDefault="00C70B9D" w:rsidP="006408FB">
            <w:pPr>
              <w:spacing w:before="40" w:after="40" w:line="252" w:lineRule="auto"/>
              <w:jc w:val="center"/>
            </w:pPr>
            <w:r>
              <w:rPr>
                <w:sz w:val="18"/>
              </w:rPr>
              <w:t>13</w:t>
            </w:r>
          </w:p>
        </w:tc>
        <w:tc>
          <w:tcPr>
            <w:tcW w:w="1233" w:type="dxa"/>
            <w:tcMar>
              <w:top w:w="90" w:type="dxa"/>
              <w:left w:w="110" w:type="dxa"/>
              <w:bottom w:w="90" w:type="dxa"/>
              <w:right w:w="110" w:type="dxa"/>
            </w:tcMar>
            <w:vAlign w:val="center"/>
          </w:tcPr>
          <w:p w14:paraId="684DA58D" w14:textId="77777777" w:rsidR="00A65B91" w:rsidRDefault="00C70B9D" w:rsidP="006408FB">
            <w:pPr>
              <w:spacing w:before="40" w:after="40" w:line="252" w:lineRule="auto"/>
              <w:jc w:val="center"/>
            </w:pPr>
            <w:r>
              <w:rPr>
                <w:sz w:val="18"/>
              </w:rPr>
              <w:t>$33.00</w:t>
            </w:r>
          </w:p>
        </w:tc>
        <w:tc>
          <w:tcPr>
            <w:tcW w:w="1233" w:type="dxa"/>
            <w:tcMar>
              <w:top w:w="90" w:type="dxa"/>
              <w:left w:w="110" w:type="dxa"/>
              <w:bottom w:w="90" w:type="dxa"/>
              <w:right w:w="110" w:type="dxa"/>
            </w:tcMar>
            <w:vAlign w:val="center"/>
          </w:tcPr>
          <w:p w14:paraId="05D4FBBA" w14:textId="77777777" w:rsidR="00A65B91" w:rsidRDefault="00C70B9D" w:rsidP="006408FB">
            <w:pPr>
              <w:spacing w:before="40" w:after="40" w:line="252" w:lineRule="auto"/>
              <w:jc w:val="center"/>
            </w:pPr>
            <w:r>
              <w:rPr>
                <w:sz w:val="18"/>
              </w:rPr>
              <w:t>4.80</w:t>
            </w:r>
          </w:p>
        </w:tc>
        <w:tc>
          <w:tcPr>
            <w:tcW w:w="1233" w:type="dxa"/>
            <w:tcMar>
              <w:top w:w="90" w:type="dxa"/>
              <w:left w:w="110" w:type="dxa"/>
              <w:bottom w:w="90" w:type="dxa"/>
              <w:right w:w="110" w:type="dxa"/>
            </w:tcMar>
            <w:vAlign w:val="center"/>
          </w:tcPr>
          <w:p w14:paraId="56C9B874" w14:textId="77777777" w:rsidR="00A65B91" w:rsidRDefault="00C70B9D" w:rsidP="006408FB">
            <w:pPr>
              <w:spacing w:before="40" w:after="40" w:line="252" w:lineRule="auto"/>
              <w:jc w:val="center"/>
            </w:pPr>
            <w:r>
              <w:rPr>
                <w:sz w:val="18"/>
              </w:rPr>
              <w:t>52.65%</w:t>
            </w:r>
          </w:p>
        </w:tc>
        <w:tc>
          <w:tcPr>
            <w:tcW w:w="1233" w:type="dxa"/>
            <w:tcMar>
              <w:top w:w="90" w:type="dxa"/>
              <w:left w:w="110" w:type="dxa"/>
              <w:bottom w:w="90" w:type="dxa"/>
              <w:right w:w="110" w:type="dxa"/>
            </w:tcMar>
            <w:vAlign w:val="center"/>
          </w:tcPr>
          <w:p w14:paraId="13B62897" w14:textId="77777777" w:rsidR="00A65B91" w:rsidRDefault="00C70B9D" w:rsidP="006408FB">
            <w:pPr>
              <w:spacing w:before="40" w:after="40" w:line="252" w:lineRule="auto"/>
              <w:jc w:val="center"/>
            </w:pPr>
            <w:r>
              <w:rPr>
                <w:sz w:val="18"/>
              </w:rPr>
              <w:t>25</w:t>
            </w:r>
          </w:p>
        </w:tc>
        <w:tc>
          <w:tcPr>
            <w:tcW w:w="1233" w:type="dxa"/>
            <w:tcMar>
              <w:top w:w="90" w:type="dxa"/>
              <w:left w:w="110" w:type="dxa"/>
              <w:bottom w:w="90" w:type="dxa"/>
              <w:right w:w="110" w:type="dxa"/>
            </w:tcMar>
            <w:vAlign w:val="center"/>
          </w:tcPr>
          <w:p w14:paraId="4E3FD24A" w14:textId="77777777" w:rsidR="00A65B91" w:rsidRDefault="00C70B9D" w:rsidP="006408FB">
            <w:pPr>
              <w:spacing w:before="40" w:after="40" w:line="252" w:lineRule="auto"/>
              <w:jc w:val="center"/>
            </w:pPr>
            <w:r>
              <w:rPr>
                <w:sz w:val="18"/>
              </w:rPr>
              <w:t>Value-oriented market</w:t>
            </w:r>
          </w:p>
        </w:tc>
      </w:tr>
      <w:tr w:rsidR="00A65B91" w14:paraId="32FD5940" w14:textId="77777777">
        <w:trPr>
          <w:jc w:val="center"/>
        </w:trPr>
        <w:tc>
          <w:tcPr>
            <w:tcW w:w="1233" w:type="dxa"/>
            <w:shd w:val="clear" w:color="auto" w:fill="F4F6F8"/>
            <w:tcMar>
              <w:top w:w="90" w:type="dxa"/>
              <w:left w:w="110" w:type="dxa"/>
              <w:bottom w:w="90" w:type="dxa"/>
              <w:right w:w="110" w:type="dxa"/>
            </w:tcMar>
            <w:vAlign w:val="center"/>
          </w:tcPr>
          <w:p w14:paraId="3F32DF43" w14:textId="77777777" w:rsidR="00A65B91" w:rsidRDefault="00C70B9D" w:rsidP="006408FB">
            <w:pPr>
              <w:spacing w:before="40" w:after="40" w:line="252" w:lineRule="auto"/>
              <w:jc w:val="center"/>
            </w:pPr>
            <w:r>
              <w:rPr>
                <w:sz w:val="18"/>
              </w:rPr>
              <w:t>Barisal</w:t>
            </w:r>
          </w:p>
        </w:tc>
        <w:tc>
          <w:tcPr>
            <w:tcW w:w="1233" w:type="dxa"/>
            <w:shd w:val="clear" w:color="auto" w:fill="F4F6F8"/>
            <w:tcMar>
              <w:top w:w="90" w:type="dxa"/>
              <w:left w:w="110" w:type="dxa"/>
              <w:bottom w:w="90" w:type="dxa"/>
              <w:right w:w="110" w:type="dxa"/>
            </w:tcMar>
            <w:vAlign w:val="center"/>
          </w:tcPr>
          <w:p w14:paraId="1DABF618" w14:textId="77777777" w:rsidR="00A65B91" w:rsidRDefault="00C70B9D" w:rsidP="006408FB">
            <w:pPr>
              <w:spacing w:before="40" w:after="40" w:line="252" w:lineRule="auto"/>
              <w:jc w:val="center"/>
            </w:pPr>
            <w:r>
              <w:rPr>
                <w:sz w:val="18"/>
              </w:rPr>
              <w:t>52</w:t>
            </w:r>
          </w:p>
        </w:tc>
        <w:tc>
          <w:tcPr>
            <w:tcW w:w="1233" w:type="dxa"/>
            <w:shd w:val="clear" w:color="auto" w:fill="F4F6F8"/>
            <w:tcMar>
              <w:top w:w="90" w:type="dxa"/>
              <w:left w:w="110" w:type="dxa"/>
              <w:bottom w:w="90" w:type="dxa"/>
              <w:right w:w="110" w:type="dxa"/>
            </w:tcMar>
            <w:vAlign w:val="center"/>
          </w:tcPr>
          <w:p w14:paraId="690CB31C" w14:textId="77777777" w:rsidR="00A65B91" w:rsidRDefault="00C70B9D" w:rsidP="006408FB">
            <w:pPr>
              <w:spacing w:before="40" w:after="40" w:line="252" w:lineRule="auto"/>
              <w:jc w:val="center"/>
            </w:pPr>
            <w:r>
              <w:rPr>
                <w:sz w:val="18"/>
              </w:rPr>
              <w:t>3</w:t>
            </w:r>
          </w:p>
        </w:tc>
        <w:tc>
          <w:tcPr>
            <w:tcW w:w="1233" w:type="dxa"/>
            <w:shd w:val="clear" w:color="auto" w:fill="F4F6F8"/>
            <w:tcMar>
              <w:top w:w="90" w:type="dxa"/>
              <w:left w:w="110" w:type="dxa"/>
              <w:bottom w:w="90" w:type="dxa"/>
              <w:right w:w="110" w:type="dxa"/>
            </w:tcMar>
            <w:vAlign w:val="center"/>
          </w:tcPr>
          <w:p w14:paraId="27402273" w14:textId="77777777" w:rsidR="00A65B91" w:rsidRDefault="00C70B9D" w:rsidP="006408FB">
            <w:pPr>
              <w:spacing w:before="40" w:after="40" w:line="252" w:lineRule="auto"/>
              <w:jc w:val="center"/>
            </w:pPr>
            <w:r>
              <w:rPr>
                <w:sz w:val="18"/>
              </w:rPr>
              <w:t>$121.00</w:t>
            </w:r>
          </w:p>
        </w:tc>
        <w:tc>
          <w:tcPr>
            <w:tcW w:w="1233" w:type="dxa"/>
            <w:shd w:val="clear" w:color="auto" w:fill="F4F6F8"/>
            <w:tcMar>
              <w:top w:w="90" w:type="dxa"/>
              <w:left w:w="110" w:type="dxa"/>
              <w:bottom w:w="90" w:type="dxa"/>
              <w:right w:w="110" w:type="dxa"/>
            </w:tcMar>
            <w:vAlign w:val="center"/>
          </w:tcPr>
          <w:p w14:paraId="6276511E" w14:textId="77777777" w:rsidR="00A65B91" w:rsidRDefault="00C70B9D" w:rsidP="006408FB">
            <w:pPr>
              <w:spacing w:before="40" w:after="40" w:line="252" w:lineRule="auto"/>
              <w:jc w:val="center"/>
            </w:pPr>
            <w:r>
              <w:rPr>
                <w:sz w:val="18"/>
              </w:rPr>
              <w:t>5.00</w:t>
            </w:r>
          </w:p>
        </w:tc>
        <w:tc>
          <w:tcPr>
            <w:tcW w:w="1233" w:type="dxa"/>
            <w:shd w:val="clear" w:color="auto" w:fill="F4F6F8"/>
            <w:tcMar>
              <w:top w:w="90" w:type="dxa"/>
              <w:left w:w="110" w:type="dxa"/>
              <w:bottom w:w="90" w:type="dxa"/>
              <w:right w:w="110" w:type="dxa"/>
            </w:tcMar>
            <w:vAlign w:val="center"/>
          </w:tcPr>
          <w:p w14:paraId="7012E6B4" w14:textId="77777777" w:rsidR="00A65B91" w:rsidRDefault="00C70B9D" w:rsidP="006408FB">
            <w:pPr>
              <w:spacing w:before="40" w:after="40" w:line="252" w:lineRule="auto"/>
              <w:jc w:val="center"/>
            </w:pPr>
            <w:r>
              <w:rPr>
                <w:sz w:val="18"/>
              </w:rPr>
              <w:t>46.00%</w:t>
            </w:r>
          </w:p>
        </w:tc>
        <w:tc>
          <w:tcPr>
            <w:tcW w:w="1233" w:type="dxa"/>
            <w:shd w:val="clear" w:color="auto" w:fill="F4F6F8"/>
            <w:tcMar>
              <w:top w:w="90" w:type="dxa"/>
              <w:left w:w="110" w:type="dxa"/>
              <w:bottom w:w="90" w:type="dxa"/>
              <w:right w:w="110" w:type="dxa"/>
            </w:tcMar>
            <w:vAlign w:val="center"/>
          </w:tcPr>
          <w:p w14:paraId="20297C6E" w14:textId="77777777" w:rsidR="00A65B91" w:rsidRDefault="00C70B9D" w:rsidP="006408FB">
            <w:pPr>
              <w:spacing w:before="40" w:after="40" w:line="252" w:lineRule="auto"/>
              <w:jc w:val="center"/>
            </w:pPr>
            <w:r>
              <w:rPr>
                <w:sz w:val="18"/>
              </w:rPr>
              <w:t>14</w:t>
            </w:r>
          </w:p>
        </w:tc>
        <w:tc>
          <w:tcPr>
            <w:tcW w:w="1233" w:type="dxa"/>
            <w:shd w:val="clear" w:color="auto" w:fill="F4F6F8"/>
            <w:tcMar>
              <w:top w:w="90" w:type="dxa"/>
              <w:left w:w="110" w:type="dxa"/>
              <w:bottom w:w="90" w:type="dxa"/>
              <w:right w:w="110" w:type="dxa"/>
            </w:tcMar>
            <w:vAlign w:val="center"/>
          </w:tcPr>
          <w:p w14:paraId="7297574F" w14:textId="77777777" w:rsidR="00A65B91" w:rsidRDefault="00C70B9D" w:rsidP="006408FB">
            <w:pPr>
              <w:spacing w:before="40" w:after="40" w:line="252" w:lineRule="auto"/>
              <w:jc w:val="center"/>
            </w:pPr>
            <w:r>
              <w:rPr>
                <w:sz w:val="18"/>
              </w:rPr>
              <w:t>Premium but too thin</w:t>
            </w:r>
          </w:p>
        </w:tc>
      </w:tr>
      <w:tr w:rsidR="00A65B91" w14:paraId="6BED1DA7" w14:textId="77777777">
        <w:trPr>
          <w:jc w:val="center"/>
        </w:trPr>
        <w:tc>
          <w:tcPr>
            <w:tcW w:w="1233" w:type="dxa"/>
            <w:tcMar>
              <w:top w:w="90" w:type="dxa"/>
              <w:left w:w="110" w:type="dxa"/>
              <w:bottom w:w="90" w:type="dxa"/>
              <w:right w:w="110" w:type="dxa"/>
            </w:tcMar>
            <w:vAlign w:val="center"/>
          </w:tcPr>
          <w:p w14:paraId="3C55C74A" w14:textId="77777777" w:rsidR="00A65B91" w:rsidRDefault="00C70B9D" w:rsidP="006408FB">
            <w:pPr>
              <w:spacing w:before="40" w:after="40" w:line="252" w:lineRule="auto"/>
              <w:jc w:val="center"/>
            </w:pPr>
            <w:r>
              <w:rPr>
                <w:sz w:val="18"/>
              </w:rPr>
              <w:t>Khulna</w:t>
            </w:r>
          </w:p>
        </w:tc>
        <w:tc>
          <w:tcPr>
            <w:tcW w:w="1233" w:type="dxa"/>
            <w:tcMar>
              <w:top w:w="90" w:type="dxa"/>
              <w:left w:w="110" w:type="dxa"/>
              <w:bottom w:w="90" w:type="dxa"/>
              <w:right w:w="110" w:type="dxa"/>
            </w:tcMar>
            <w:vAlign w:val="center"/>
          </w:tcPr>
          <w:p w14:paraId="41CB2FF5" w14:textId="77777777" w:rsidR="00A65B91" w:rsidRDefault="00C70B9D" w:rsidP="006408FB">
            <w:pPr>
              <w:spacing w:before="40" w:after="40" w:line="252" w:lineRule="auto"/>
              <w:jc w:val="center"/>
            </w:pPr>
            <w:r>
              <w:rPr>
                <w:sz w:val="18"/>
              </w:rPr>
              <w:t>52</w:t>
            </w:r>
          </w:p>
        </w:tc>
        <w:tc>
          <w:tcPr>
            <w:tcW w:w="1233" w:type="dxa"/>
            <w:tcMar>
              <w:top w:w="90" w:type="dxa"/>
              <w:left w:w="110" w:type="dxa"/>
              <w:bottom w:w="90" w:type="dxa"/>
              <w:right w:w="110" w:type="dxa"/>
            </w:tcMar>
            <w:vAlign w:val="center"/>
          </w:tcPr>
          <w:p w14:paraId="2AFBAE2F" w14:textId="77777777" w:rsidR="00A65B91" w:rsidRDefault="00C70B9D" w:rsidP="006408FB">
            <w:pPr>
              <w:spacing w:before="40" w:after="40" w:line="252" w:lineRule="auto"/>
              <w:jc w:val="center"/>
            </w:pPr>
            <w:r>
              <w:rPr>
                <w:sz w:val="18"/>
              </w:rPr>
              <w:t>Limited visible</w:t>
            </w:r>
          </w:p>
        </w:tc>
        <w:tc>
          <w:tcPr>
            <w:tcW w:w="1233" w:type="dxa"/>
            <w:tcMar>
              <w:top w:w="90" w:type="dxa"/>
              <w:left w:w="110" w:type="dxa"/>
              <w:bottom w:w="90" w:type="dxa"/>
              <w:right w:w="110" w:type="dxa"/>
            </w:tcMar>
            <w:vAlign w:val="center"/>
          </w:tcPr>
          <w:p w14:paraId="1456154C" w14:textId="77777777" w:rsidR="00A65B91" w:rsidRDefault="00C70B9D" w:rsidP="006408FB">
            <w:pPr>
              <w:spacing w:before="40" w:after="40" w:line="252" w:lineRule="auto"/>
              <w:jc w:val="center"/>
            </w:pPr>
            <w:r>
              <w:rPr>
                <w:sz w:val="18"/>
              </w:rPr>
              <w:t>~$57.31*</w:t>
            </w:r>
          </w:p>
        </w:tc>
        <w:tc>
          <w:tcPr>
            <w:tcW w:w="1233" w:type="dxa"/>
            <w:tcMar>
              <w:top w:w="90" w:type="dxa"/>
              <w:left w:w="110" w:type="dxa"/>
              <w:bottom w:w="90" w:type="dxa"/>
              <w:right w:w="110" w:type="dxa"/>
            </w:tcMar>
            <w:vAlign w:val="center"/>
          </w:tcPr>
          <w:p w14:paraId="457BBE61" w14:textId="77777777" w:rsidR="00A65B91" w:rsidRDefault="00C70B9D" w:rsidP="006408FB">
            <w:pPr>
              <w:spacing w:before="40" w:after="40" w:line="252" w:lineRule="auto"/>
              <w:jc w:val="center"/>
            </w:pPr>
            <w:r>
              <w:rPr>
                <w:sz w:val="18"/>
              </w:rPr>
              <w:t>4.52</w:t>
            </w:r>
          </w:p>
        </w:tc>
        <w:tc>
          <w:tcPr>
            <w:tcW w:w="1233" w:type="dxa"/>
            <w:tcMar>
              <w:top w:w="90" w:type="dxa"/>
              <w:left w:w="110" w:type="dxa"/>
              <w:bottom w:w="90" w:type="dxa"/>
              <w:right w:w="110" w:type="dxa"/>
            </w:tcMar>
            <w:vAlign w:val="center"/>
          </w:tcPr>
          <w:p w14:paraId="37436ACD" w14:textId="77777777" w:rsidR="00A65B91" w:rsidRDefault="00C70B9D" w:rsidP="006408FB">
            <w:pPr>
              <w:spacing w:before="40" w:after="40" w:line="252" w:lineRule="auto"/>
              <w:jc w:val="center"/>
            </w:pPr>
            <w:r>
              <w:rPr>
                <w:sz w:val="18"/>
              </w:rPr>
              <w:t>Partial only</w:t>
            </w:r>
          </w:p>
        </w:tc>
        <w:tc>
          <w:tcPr>
            <w:tcW w:w="1233" w:type="dxa"/>
            <w:tcMar>
              <w:top w:w="90" w:type="dxa"/>
              <w:left w:w="110" w:type="dxa"/>
              <w:bottom w:w="90" w:type="dxa"/>
              <w:right w:w="110" w:type="dxa"/>
            </w:tcMar>
            <w:vAlign w:val="center"/>
          </w:tcPr>
          <w:p w14:paraId="306512F7" w14:textId="77777777" w:rsidR="00A65B91" w:rsidRDefault="00C70B9D" w:rsidP="006408FB">
            <w:pPr>
              <w:spacing w:before="40" w:after="40" w:line="252" w:lineRule="auto"/>
              <w:jc w:val="center"/>
            </w:pPr>
            <w:r>
              <w:rPr>
                <w:sz w:val="18"/>
              </w:rPr>
              <w:t>Partial only</w:t>
            </w:r>
          </w:p>
        </w:tc>
        <w:tc>
          <w:tcPr>
            <w:tcW w:w="1233" w:type="dxa"/>
            <w:tcMar>
              <w:top w:w="90" w:type="dxa"/>
              <w:left w:w="110" w:type="dxa"/>
              <w:bottom w:w="90" w:type="dxa"/>
              <w:right w:w="110" w:type="dxa"/>
            </w:tcMar>
            <w:vAlign w:val="center"/>
          </w:tcPr>
          <w:p w14:paraId="30955510" w14:textId="77777777" w:rsidR="00A65B91" w:rsidRDefault="00C70B9D" w:rsidP="006408FB">
            <w:pPr>
              <w:spacing w:before="40" w:after="40" w:line="252" w:lineRule="auto"/>
              <w:jc w:val="center"/>
            </w:pPr>
            <w:r>
              <w:rPr>
                <w:sz w:val="18"/>
              </w:rPr>
              <w:t>Early-stage / low-confidence</w:t>
            </w:r>
          </w:p>
        </w:tc>
      </w:tr>
      <w:tr w:rsidR="00A65B91" w14:paraId="4FDC86CF" w14:textId="77777777">
        <w:trPr>
          <w:jc w:val="center"/>
        </w:trPr>
        <w:tc>
          <w:tcPr>
            <w:tcW w:w="1233" w:type="dxa"/>
            <w:shd w:val="clear" w:color="auto" w:fill="F4F6F8"/>
            <w:tcMar>
              <w:top w:w="90" w:type="dxa"/>
              <w:left w:w="110" w:type="dxa"/>
              <w:bottom w:w="90" w:type="dxa"/>
              <w:right w:w="110" w:type="dxa"/>
            </w:tcMar>
            <w:vAlign w:val="center"/>
          </w:tcPr>
          <w:p w14:paraId="02977D84" w14:textId="77777777" w:rsidR="00A65B91" w:rsidRDefault="00C70B9D" w:rsidP="006408FB">
            <w:pPr>
              <w:spacing w:before="40" w:after="40" w:line="252" w:lineRule="auto"/>
              <w:jc w:val="center"/>
            </w:pPr>
            <w:r>
              <w:rPr>
                <w:sz w:val="18"/>
              </w:rPr>
              <w:t>Rangpur</w:t>
            </w:r>
          </w:p>
        </w:tc>
        <w:tc>
          <w:tcPr>
            <w:tcW w:w="1233" w:type="dxa"/>
            <w:shd w:val="clear" w:color="auto" w:fill="F4F6F8"/>
            <w:tcMar>
              <w:top w:w="90" w:type="dxa"/>
              <w:left w:w="110" w:type="dxa"/>
              <w:bottom w:w="90" w:type="dxa"/>
              <w:right w:w="110" w:type="dxa"/>
            </w:tcMar>
            <w:vAlign w:val="center"/>
          </w:tcPr>
          <w:p w14:paraId="08B6EF86" w14:textId="77777777" w:rsidR="00A65B91" w:rsidRDefault="00C70B9D" w:rsidP="006408FB">
            <w:pPr>
              <w:spacing w:before="40" w:after="40" w:line="252" w:lineRule="auto"/>
              <w:jc w:val="center"/>
            </w:pPr>
            <w:r>
              <w:rPr>
                <w:sz w:val="18"/>
              </w:rPr>
              <w:t>24</w:t>
            </w:r>
          </w:p>
        </w:tc>
        <w:tc>
          <w:tcPr>
            <w:tcW w:w="1233" w:type="dxa"/>
            <w:shd w:val="clear" w:color="auto" w:fill="F4F6F8"/>
            <w:tcMar>
              <w:top w:w="90" w:type="dxa"/>
              <w:left w:w="110" w:type="dxa"/>
              <w:bottom w:w="90" w:type="dxa"/>
              <w:right w:w="110" w:type="dxa"/>
            </w:tcMar>
            <w:vAlign w:val="center"/>
          </w:tcPr>
          <w:p w14:paraId="6D0F8E7E" w14:textId="77777777" w:rsidR="00A65B91" w:rsidRDefault="00C70B9D" w:rsidP="006408FB">
            <w:pPr>
              <w:spacing w:before="40" w:after="40" w:line="252" w:lineRule="auto"/>
              <w:jc w:val="center"/>
            </w:pPr>
            <w:r>
              <w:rPr>
                <w:sz w:val="18"/>
              </w:rPr>
              <w:t>1</w:t>
            </w:r>
          </w:p>
        </w:tc>
        <w:tc>
          <w:tcPr>
            <w:tcW w:w="1233" w:type="dxa"/>
            <w:shd w:val="clear" w:color="auto" w:fill="F4F6F8"/>
            <w:tcMar>
              <w:top w:w="90" w:type="dxa"/>
              <w:left w:w="110" w:type="dxa"/>
              <w:bottom w:w="90" w:type="dxa"/>
              <w:right w:w="110" w:type="dxa"/>
            </w:tcMar>
            <w:vAlign w:val="center"/>
          </w:tcPr>
          <w:p w14:paraId="08DA6C0E" w14:textId="77777777" w:rsidR="00A65B91" w:rsidRDefault="00C70B9D" w:rsidP="006408FB">
            <w:pPr>
              <w:spacing w:before="40" w:after="40" w:line="252" w:lineRule="auto"/>
              <w:jc w:val="center"/>
            </w:pPr>
            <w:r>
              <w:rPr>
                <w:sz w:val="18"/>
              </w:rPr>
              <w:t>$38.00</w:t>
            </w:r>
          </w:p>
        </w:tc>
        <w:tc>
          <w:tcPr>
            <w:tcW w:w="1233" w:type="dxa"/>
            <w:shd w:val="clear" w:color="auto" w:fill="F4F6F8"/>
            <w:tcMar>
              <w:top w:w="90" w:type="dxa"/>
              <w:left w:w="110" w:type="dxa"/>
              <w:bottom w:w="90" w:type="dxa"/>
              <w:right w:w="110" w:type="dxa"/>
            </w:tcMar>
            <w:vAlign w:val="center"/>
          </w:tcPr>
          <w:p w14:paraId="3E701C31" w14:textId="77777777" w:rsidR="00A65B91" w:rsidRDefault="00C70B9D" w:rsidP="006408FB">
            <w:pPr>
              <w:spacing w:before="40" w:after="40" w:line="252" w:lineRule="auto"/>
              <w:jc w:val="center"/>
            </w:pPr>
            <w:r>
              <w:rPr>
                <w:sz w:val="18"/>
              </w:rPr>
              <w:t>N/A</w:t>
            </w:r>
          </w:p>
        </w:tc>
        <w:tc>
          <w:tcPr>
            <w:tcW w:w="1233" w:type="dxa"/>
            <w:shd w:val="clear" w:color="auto" w:fill="F4F6F8"/>
            <w:tcMar>
              <w:top w:w="90" w:type="dxa"/>
              <w:left w:w="110" w:type="dxa"/>
              <w:bottom w:w="90" w:type="dxa"/>
              <w:right w:w="110" w:type="dxa"/>
            </w:tcMar>
            <w:vAlign w:val="center"/>
          </w:tcPr>
          <w:p w14:paraId="6DF66C19" w14:textId="77777777" w:rsidR="00A65B91" w:rsidRDefault="00C70B9D" w:rsidP="006408FB">
            <w:pPr>
              <w:spacing w:before="40" w:after="40" w:line="252" w:lineRule="auto"/>
              <w:jc w:val="center"/>
            </w:pPr>
            <w:r>
              <w:rPr>
                <w:sz w:val="18"/>
              </w:rPr>
              <w:t>40.00%</w:t>
            </w:r>
          </w:p>
        </w:tc>
        <w:tc>
          <w:tcPr>
            <w:tcW w:w="1233" w:type="dxa"/>
            <w:shd w:val="clear" w:color="auto" w:fill="F4F6F8"/>
            <w:tcMar>
              <w:top w:w="90" w:type="dxa"/>
              <w:left w:w="110" w:type="dxa"/>
              <w:bottom w:w="90" w:type="dxa"/>
              <w:right w:w="110" w:type="dxa"/>
            </w:tcMar>
            <w:vAlign w:val="center"/>
          </w:tcPr>
          <w:p w14:paraId="219DF54B" w14:textId="77777777" w:rsidR="00A65B91" w:rsidRDefault="00C70B9D" w:rsidP="006408FB">
            <w:pPr>
              <w:spacing w:before="40" w:after="40" w:line="252" w:lineRule="auto"/>
              <w:jc w:val="center"/>
            </w:pPr>
            <w:r>
              <w:rPr>
                <w:sz w:val="18"/>
              </w:rPr>
              <w:t>14</w:t>
            </w:r>
          </w:p>
        </w:tc>
        <w:tc>
          <w:tcPr>
            <w:tcW w:w="1233" w:type="dxa"/>
            <w:shd w:val="clear" w:color="auto" w:fill="F4F6F8"/>
            <w:tcMar>
              <w:top w:w="90" w:type="dxa"/>
              <w:left w:w="110" w:type="dxa"/>
              <w:bottom w:w="90" w:type="dxa"/>
              <w:right w:w="110" w:type="dxa"/>
            </w:tcMar>
            <w:vAlign w:val="center"/>
          </w:tcPr>
          <w:p w14:paraId="43D7FB9D" w14:textId="77777777" w:rsidR="00A65B91" w:rsidRDefault="00C70B9D" w:rsidP="006408FB">
            <w:pPr>
              <w:spacing w:before="40" w:after="40" w:line="252" w:lineRule="auto"/>
              <w:jc w:val="center"/>
            </w:pPr>
            <w:r>
              <w:rPr>
                <w:sz w:val="18"/>
              </w:rPr>
              <w:t>Too thin for first move</w:t>
            </w:r>
          </w:p>
        </w:tc>
      </w:tr>
      <w:tr w:rsidR="00A65B91" w14:paraId="6E60326E" w14:textId="77777777">
        <w:trPr>
          <w:jc w:val="center"/>
        </w:trPr>
        <w:tc>
          <w:tcPr>
            <w:tcW w:w="1233" w:type="dxa"/>
            <w:tcMar>
              <w:top w:w="90" w:type="dxa"/>
              <w:left w:w="110" w:type="dxa"/>
              <w:bottom w:w="90" w:type="dxa"/>
              <w:right w:w="110" w:type="dxa"/>
            </w:tcMar>
            <w:vAlign w:val="center"/>
          </w:tcPr>
          <w:p w14:paraId="5A2C85B2" w14:textId="77777777" w:rsidR="00A65B91" w:rsidRDefault="00C70B9D" w:rsidP="006408FB">
            <w:pPr>
              <w:spacing w:before="40" w:after="40" w:line="252" w:lineRule="auto"/>
              <w:jc w:val="center"/>
            </w:pPr>
            <w:r>
              <w:rPr>
                <w:sz w:val="18"/>
              </w:rPr>
              <w:t>Mymensingh</w:t>
            </w:r>
          </w:p>
        </w:tc>
        <w:tc>
          <w:tcPr>
            <w:tcW w:w="1233" w:type="dxa"/>
            <w:tcMar>
              <w:top w:w="90" w:type="dxa"/>
              <w:left w:w="110" w:type="dxa"/>
              <w:bottom w:w="90" w:type="dxa"/>
              <w:right w:w="110" w:type="dxa"/>
            </w:tcMar>
            <w:vAlign w:val="center"/>
          </w:tcPr>
          <w:p w14:paraId="7911D6FA" w14:textId="77777777" w:rsidR="00A65B91" w:rsidRDefault="00C70B9D" w:rsidP="006408FB">
            <w:pPr>
              <w:spacing w:before="40" w:after="40" w:line="252" w:lineRule="auto"/>
              <w:jc w:val="center"/>
            </w:pPr>
            <w:r>
              <w:rPr>
                <w:sz w:val="18"/>
              </w:rPr>
              <w:t>21</w:t>
            </w:r>
          </w:p>
        </w:tc>
        <w:tc>
          <w:tcPr>
            <w:tcW w:w="1233" w:type="dxa"/>
            <w:tcMar>
              <w:top w:w="90" w:type="dxa"/>
              <w:left w:w="110" w:type="dxa"/>
              <w:bottom w:w="90" w:type="dxa"/>
              <w:right w:w="110" w:type="dxa"/>
            </w:tcMar>
            <w:vAlign w:val="center"/>
          </w:tcPr>
          <w:p w14:paraId="3C712271" w14:textId="77777777" w:rsidR="00A65B91" w:rsidRDefault="00C70B9D" w:rsidP="006408FB">
            <w:pPr>
              <w:spacing w:before="40" w:after="40" w:line="252" w:lineRule="auto"/>
              <w:jc w:val="center"/>
            </w:pPr>
            <w:r>
              <w:rPr>
                <w:sz w:val="18"/>
              </w:rPr>
              <w:t>5</w:t>
            </w:r>
          </w:p>
        </w:tc>
        <w:tc>
          <w:tcPr>
            <w:tcW w:w="1233" w:type="dxa"/>
            <w:tcMar>
              <w:top w:w="90" w:type="dxa"/>
              <w:left w:w="110" w:type="dxa"/>
              <w:bottom w:w="90" w:type="dxa"/>
              <w:right w:w="110" w:type="dxa"/>
            </w:tcMar>
            <w:vAlign w:val="center"/>
          </w:tcPr>
          <w:p w14:paraId="5B4318FF" w14:textId="77777777" w:rsidR="00A65B91" w:rsidRDefault="00C70B9D" w:rsidP="006408FB">
            <w:pPr>
              <w:spacing w:before="40" w:after="40" w:line="252" w:lineRule="auto"/>
              <w:jc w:val="center"/>
            </w:pPr>
            <w:r>
              <w:rPr>
                <w:sz w:val="18"/>
              </w:rPr>
              <w:t>Price blank</w:t>
            </w:r>
          </w:p>
        </w:tc>
        <w:tc>
          <w:tcPr>
            <w:tcW w:w="1233" w:type="dxa"/>
            <w:tcMar>
              <w:top w:w="90" w:type="dxa"/>
              <w:left w:w="110" w:type="dxa"/>
              <w:bottom w:w="90" w:type="dxa"/>
              <w:right w:w="110" w:type="dxa"/>
            </w:tcMar>
            <w:vAlign w:val="center"/>
          </w:tcPr>
          <w:p w14:paraId="3822E792" w14:textId="77777777" w:rsidR="00A65B91" w:rsidRDefault="00C70B9D" w:rsidP="006408FB">
            <w:pPr>
              <w:spacing w:before="40" w:after="40" w:line="252" w:lineRule="auto"/>
              <w:jc w:val="center"/>
            </w:pPr>
            <w:r>
              <w:rPr>
                <w:sz w:val="18"/>
              </w:rPr>
              <w:t>4.50</w:t>
            </w:r>
          </w:p>
        </w:tc>
        <w:tc>
          <w:tcPr>
            <w:tcW w:w="1233" w:type="dxa"/>
            <w:tcMar>
              <w:top w:w="90" w:type="dxa"/>
              <w:left w:w="110" w:type="dxa"/>
              <w:bottom w:w="90" w:type="dxa"/>
              <w:right w:w="110" w:type="dxa"/>
            </w:tcMar>
            <w:vAlign w:val="center"/>
          </w:tcPr>
          <w:p w14:paraId="2E1AAC53" w14:textId="77777777" w:rsidR="00A65B91" w:rsidRDefault="00C70B9D" w:rsidP="006408FB">
            <w:pPr>
              <w:spacing w:before="40" w:after="40" w:line="252" w:lineRule="auto"/>
              <w:jc w:val="center"/>
            </w:pPr>
            <w:r>
              <w:rPr>
                <w:sz w:val="18"/>
              </w:rPr>
              <w:t>100.00%</w:t>
            </w:r>
          </w:p>
        </w:tc>
        <w:tc>
          <w:tcPr>
            <w:tcW w:w="1233" w:type="dxa"/>
            <w:tcMar>
              <w:top w:w="90" w:type="dxa"/>
              <w:left w:w="110" w:type="dxa"/>
              <w:bottom w:w="90" w:type="dxa"/>
              <w:right w:w="110" w:type="dxa"/>
            </w:tcMar>
            <w:vAlign w:val="center"/>
          </w:tcPr>
          <w:p w14:paraId="5051AF4A" w14:textId="77777777" w:rsidR="00A65B91" w:rsidRDefault="00C70B9D" w:rsidP="006408FB">
            <w:pPr>
              <w:spacing w:before="40" w:after="40" w:line="252" w:lineRule="auto"/>
              <w:jc w:val="center"/>
            </w:pPr>
            <w:r>
              <w:rPr>
                <w:sz w:val="18"/>
              </w:rPr>
              <w:t>9</w:t>
            </w:r>
          </w:p>
        </w:tc>
        <w:tc>
          <w:tcPr>
            <w:tcW w:w="1233" w:type="dxa"/>
            <w:tcMar>
              <w:top w:w="90" w:type="dxa"/>
              <w:left w:w="110" w:type="dxa"/>
              <w:bottom w:w="90" w:type="dxa"/>
              <w:right w:w="110" w:type="dxa"/>
            </w:tcMar>
            <w:vAlign w:val="center"/>
          </w:tcPr>
          <w:p w14:paraId="68BE7A21" w14:textId="77777777" w:rsidR="00A65B91" w:rsidRDefault="00C70B9D" w:rsidP="006408FB">
            <w:pPr>
              <w:spacing w:before="40" w:after="40" w:line="252" w:lineRule="auto"/>
              <w:jc w:val="center"/>
            </w:pPr>
            <w:r>
              <w:rPr>
                <w:sz w:val="18"/>
              </w:rPr>
              <w:t>Too thin for first move</w:t>
            </w:r>
          </w:p>
        </w:tc>
      </w:tr>
    </w:tbl>
    <w:p w14:paraId="7B7B9C1F" w14:textId="77777777" w:rsidR="00A65B91" w:rsidRDefault="00C70B9D">
      <w:pPr>
        <w:spacing w:after="120"/>
      </w:pPr>
      <w:r>
        <w:t>* Khulna price is inferred from the multi-division chart in the scraped dashboard data. Some Khulna metrics were only visible in combined views rather than in a standalone division dashboard, so interpretation should be cautious.</w:t>
      </w:r>
    </w:p>
    <w:p w14:paraId="50213C55" w14:textId="77777777" w:rsidR="00A65B91" w:rsidRDefault="00C70B9D">
      <w:pPr>
        <w:pStyle w:val="Heading2"/>
        <w:spacing w:before="160" w:after="80"/>
      </w:pPr>
      <w:r>
        <w:rPr>
          <w:color w:val="345681"/>
          <w:sz w:val="24"/>
        </w:rPr>
        <w:t>5.2 Market selection ranking</w:t>
      </w:r>
    </w:p>
    <w:tbl>
      <w:tblPr>
        <w:tblStyle w:val="TableGrid"/>
        <w:tblW w:w="0" w:type="auto"/>
        <w:jc w:val="center"/>
        <w:tblLook w:val="04A0" w:firstRow="1" w:lastRow="0" w:firstColumn="1" w:lastColumn="0" w:noHBand="0" w:noVBand="1"/>
      </w:tblPr>
      <w:tblGrid>
        <w:gridCol w:w="3289"/>
        <w:gridCol w:w="3289"/>
        <w:gridCol w:w="3289"/>
      </w:tblGrid>
      <w:tr w:rsidR="00A65B91" w14:paraId="3BCDC412" w14:textId="77777777">
        <w:trPr>
          <w:jc w:val="center"/>
        </w:trPr>
        <w:tc>
          <w:tcPr>
            <w:tcW w:w="3289" w:type="dxa"/>
            <w:shd w:val="clear" w:color="auto" w:fill="223A5E"/>
            <w:tcMar>
              <w:top w:w="90" w:type="dxa"/>
              <w:left w:w="110" w:type="dxa"/>
              <w:bottom w:w="90" w:type="dxa"/>
              <w:right w:w="110" w:type="dxa"/>
            </w:tcMar>
            <w:vAlign w:val="center"/>
          </w:tcPr>
          <w:p w14:paraId="26147873" w14:textId="77777777" w:rsidR="00A65B91" w:rsidRDefault="00C70B9D">
            <w:pPr>
              <w:spacing w:before="40" w:after="40" w:line="252" w:lineRule="auto"/>
              <w:jc w:val="center"/>
            </w:pPr>
            <w:r>
              <w:rPr>
                <w:b/>
                <w:color w:val="FFFFFF"/>
                <w:sz w:val="19"/>
              </w:rPr>
              <w:t>Tier</w:t>
            </w:r>
          </w:p>
        </w:tc>
        <w:tc>
          <w:tcPr>
            <w:tcW w:w="3289" w:type="dxa"/>
            <w:shd w:val="clear" w:color="auto" w:fill="223A5E"/>
            <w:tcMar>
              <w:top w:w="90" w:type="dxa"/>
              <w:left w:w="110" w:type="dxa"/>
              <w:bottom w:w="90" w:type="dxa"/>
              <w:right w:w="110" w:type="dxa"/>
            </w:tcMar>
            <w:vAlign w:val="center"/>
          </w:tcPr>
          <w:p w14:paraId="7A5D9902" w14:textId="77777777" w:rsidR="00A65B91" w:rsidRDefault="00C70B9D">
            <w:pPr>
              <w:spacing w:before="40" w:after="40" w:line="252" w:lineRule="auto"/>
              <w:jc w:val="center"/>
            </w:pPr>
            <w:r>
              <w:rPr>
                <w:b/>
                <w:color w:val="FFFFFF"/>
                <w:sz w:val="19"/>
              </w:rPr>
              <w:t>Divisions</w:t>
            </w:r>
          </w:p>
        </w:tc>
        <w:tc>
          <w:tcPr>
            <w:tcW w:w="3289" w:type="dxa"/>
            <w:shd w:val="clear" w:color="auto" w:fill="223A5E"/>
            <w:tcMar>
              <w:top w:w="90" w:type="dxa"/>
              <w:left w:w="110" w:type="dxa"/>
              <w:bottom w:w="90" w:type="dxa"/>
              <w:right w:w="110" w:type="dxa"/>
            </w:tcMar>
            <w:vAlign w:val="center"/>
          </w:tcPr>
          <w:p w14:paraId="73C3DBA2" w14:textId="77777777" w:rsidR="00A65B91" w:rsidRDefault="00C70B9D">
            <w:pPr>
              <w:spacing w:before="40" w:after="40" w:line="252" w:lineRule="auto"/>
              <w:jc w:val="center"/>
            </w:pPr>
            <w:r>
              <w:rPr>
                <w:b/>
                <w:color w:val="FFFFFF"/>
                <w:sz w:val="19"/>
              </w:rPr>
              <w:t>Interpretation</w:t>
            </w:r>
          </w:p>
        </w:tc>
      </w:tr>
      <w:tr w:rsidR="00A65B91" w14:paraId="29C219C6" w14:textId="77777777">
        <w:trPr>
          <w:jc w:val="center"/>
        </w:trPr>
        <w:tc>
          <w:tcPr>
            <w:tcW w:w="3289" w:type="dxa"/>
            <w:shd w:val="clear" w:color="auto" w:fill="F4F6F8"/>
            <w:tcMar>
              <w:top w:w="90" w:type="dxa"/>
              <w:left w:w="110" w:type="dxa"/>
              <w:bottom w:w="90" w:type="dxa"/>
              <w:right w:w="110" w:type="dxa"/>
            </w:tcMar>
            <w:vAlign w:val="center"/>
          </w:tcPr>
          <w:p w14:paraId="5FE7C7DF" w14:textId="77777777" w:rsidR="00A65B91" w:rsidRDefault="00C70B9D" w:rsidP="006408FB">
            <w:pPr>
              <w:spacing w:before="40" w:after="40" w:line="252" w:lineRule="auto"/>
              <w:jc w:val="center"/>
            </w:pPr>
            <w:r>
              <w:rPr>
                <w:sz w:val="18"/>
              </w:rPr>
              <w:t>Tier 1</w:t>
            </w:r>
          </w:p>
        </w:tc>
        <w:tc>
          <w:tcPr>
            <w:tcW w:w="3289" w:type="dxa"/>
            <w:shd w:val="clear" w:color="auto" w:fill="F4F6F8"/>
            <w:tcMar>
              <w:top w:w="90" w:type="dxa"/>
              <w:left w:w="110" w:type="dxa"/>
              <w:bottom w:w="90" w:type="dxa"/>
              <w:right w:w="110" w:type="dxa"/>
            </w:tcMar>
            <w:vAlign w:val="center"/>
          </w:tcPr>
          <w:p w14:paraId="59EB8DFA" w14:textId="77777777" w:rsidR="00A65B91" w:rsidRDefault="00C70B9D" w:rsidP="006408FB">
            <w:pPr>
              <w:spacing w:before="40" w:after="40" w:line="252" w:lineRule="auto"/>
              <w:jc w:val="center"/>
            </w:pPr>
            <w:r>
              <w:rPr>
                <w:sz w:val="18"/>
              </w:rPr>
              <w:t>Dhaka</w:t>
            </w:r>
          </w:p>
        </w:tc>
        <w:tc>
          <w:tcPr>
            <w:tcW w:w="3289" w:type="dxa"/>
            <w:shd w:val="clear" w:color="auto" w:fill="F4F6F8"/>
            <w:tcMar>
              <w:top w:w="90" w:type="dxa"/>
              <w:left w:w="110" w:type="dxa"/>
              <w:bottom w:w="90" w:type="dxa"/>
              <w:right w:w="110" w:type="dxa"/>
            </w:tcMar>
            <w:vAlign w:val="center"/>
          </w:tcPr>
          <w:p w14:paraId="3CB2931A" w14:textId="77777777" w:rsidR="00A65B91" w:rsidRDefault="00C70B9D">
            <w:pPr>
              <w:spacing w:before="40" w:after="40" w:line="252" w:lineRule="auto"/>
            </w:pPr>
            <w:r>
              <w:rPr>
                <w:sz w:val="18"/>
              </w:rPr>
              <w:t>Strongest scale, traction, responsiveness, and benchmark depth. Recommended first market.</w:t>
            </w:r>
          </w:p>
        </w:tc>
      </w:tr>
      <w:tr w:rsidR="00A65B91" w14:paraId="47F070AD" w14:textId="77777777">
        <w:trPr>
          <w:jc w:val="center"/>
        </w:trPr>
        <w:tc>
          <w:tcPr>
            <w:tcW w:w="3289" w:type="dxa"/>
            <w:tcMar>
              <w:top w:w="90" w:type="dxa"/>
              <w:left w:w="110" w:type="dxa"/>
              <w:bottom w:w="90" w:type="dxa"/>
              <w:right w:w="110" w:type="dxa"/>
            </w:tcMar>
            <w:vAlign w:val="center"/>
          </w:tcPr>
          <w:p w14:paraId="166385CB" w14:textId="77777777" w:rsidR="00A65B91" w:rsidRDefault="00C70B9D" w:rsidP="006408FB">
            <w:pPr>
              <w:spacing w:before="40" w:after="40" w:line="252" w:lineRule="auto"/>
              <w:jc w:val="center"/>
            </w:pPr>
            <w:r>
              <w:rPr>
                <w:sz w:val="18"/>
              </w:rPr>
              <w:t>Tier 2</w:t>
            </w:r>
          </w:p>
        </w:tc>
        <w:tc>
          <w:tcPr>
            <w:tcW w:w="3289" w:type="dxa"/>
            <w:tcMar>
              <w:top w:w="90" w:type="dxa"/>
              <w:left w:w="110" w:type="dxa"/>
              <w:bottom w:w="90" w:type="dxa"/>
              <w:right w:w="110" w:type="dxa"/>
            </w:tcMar>
            <w:vAlign w:val="center"/>
          </w:tcPr>
          <w:p w14:paraId="03106D74" w14:textId="77777777" w:rsidR="00A65B91" w:rsidRDefault="00C70B9D" w:rsidP="006408FB">
            <w:pPr>
              <w:spacing w:before="40" w:after="40" w:line="252" w:lineRule="auto"/>
              <w:jc w:val="center"/>
            </w:pPr>
            <w:r>
              <w:rPr>
                <w:sz w:val="18"/>
              </w:rPr>
              <w:t>Chattogram</w:t>
            </w:r>
          </w:p>
        </w:tc>
        <w:tc>
          <w:tcPr>
            <w:tcW w:w="3289" w:type="dxa"/>
            <w:tcMar>
              <w:top w:w="90" w:type="dxa"/>
              <w:left w:w="110" w:type="dxa"/>
              <w:bottom w:w="90" w:type="dxa"/>
              <w:right w:w="110" w:type="dxa"/>
            </w:tcMar>
            <w:vAlign w:val="center"/>
          </w:tcPr>
          <w:p w14:paraId="2843B12A" w14:textId="77777777" w:rsidR="00A65B91" w:rsidRDefault="00C70B9D">
            <w:pPr>
              <w:spacing w:before="40" w:after="40" w:line="252" w:lineRule="auto"/>
            </w:pPr>
            <w:r>
              <w:rPr>
                <w:sz w:val="18"/>
              </w:rPr>
              <w:t>Most credible second market. Higher average nightly rate but less operational maturity than Dhaka.</w:t>
            </w:r>
          </w:p>
        </w:tc>
      </w:tr>
      <w:tr w:rsidR="00A65B91" w14:paraId="37C09638" w14:textId="77777777">
        <w:trPr>
          <w:jc w:val="center"/>
        </w:trPr>
        <w:tc>
          <w:tcPr>
            <w:tcW w:w="3289" w:type="dxa"/>
            <w:shd w:val="clear" w:color="auto" w:fill="F4F6F8"/>
            <w:tcMar>
              <w:top w:w="90" w:type="dxa"/>
              <w:left w:w="110" w:type="dxa"/>
              <w:bottom w:w="90" w:type="dxa"/>
              <w:right w:w="110" w:type="dxa"/>
            </w:tcMar>
            <w:vAlign w:val="center"/>
          </w:tcPr>
          <w:p w14:paraId="6E1F7436" w14:textId="77777777" w:rsidR="00A65B91" w:rsidRDefault="00C70B9D" w:rsidP="006408FB">
            <w:pPr>
              <w:spacing w:before="40" w:after="40" w:line="252" w:lineRule="auto"/>
              <w:jc w:val="center"/>
            </w:pPr>
            <w:r>
              <w:rPr>
                <w:sz w:val="18"/>
              </w:rPr>
              <w:t>Tier 3</w:t>
            </w:r>
          </w:p>
        </w:tc>
        <w:tc>
          <w:tcPr>
            <w:tcW w:w="3289" w:type="dxa"/>
            <w:shd w:val="clear" w:color="auto" w:fill="F4F6F8"/>
            <w:tcMar>
              <w:top w:w="90" w:type="dxa"/>
              <w:left w:w="110" w:type="dxa"/>
              <w:bottom w:w="90" w:type="dxa"/>
              <w:right w:w="110" w:type="dxa"/>
            </w:tcMar>
            <w:vAlign w:val="center"/>
          </w:tcPr>
          <w:p w14:paraId="47BA33E1" w14:textId="77777777" w:rsidR="00A65B91" w:rsidRDefault="00C70B9D" w:rsidP="006408FB">
            <w:pPr>
              <w:spacing w:before="40" w:after="40" w:line="252" w:lineRule="auto"/>
              <w:jc w:val="center"/>
            </w:pPr>
            <w:r>
              <w:rPr>
                <w:sz w:val="18"/>
              </w:rPr>
              <w:t>Sylhet, Rajshahi</w:t>
            </w:r>
          </w:p>
        </w:tc>
        <w:tc>
          <w:tcPr>
            <w:tcW w:w="3289" w:type="dxa"/>
            <w:shd w:val="clear" w:color="auto" w:fill="F4F6F8"/>
            <w:tcMar>
              <w:top w:w="90" w:type="dxa"/>
              <w:left w:w="110" w:type="dxa"/>
              <w:bottom w:w="90" w:type="dxa"/>
              <w:right w:w="110" w:type="dxa"/>
            </w:tcMar>
            <w:vAlign w:val="center"/>
          </w:tcPr>
          <w:p w14:paraId="4D6506BE" w14:textId="77777777" w:rsidR="00A65B91" w:rsidRDefault="00C70B9D">
            <w:pPr>
              <w:spacing w:before="40" w:after="40" w:line="252" w:lineRule="auto"/>
            </w:pPr>
            <w:r>
              <w:rPr>
                <w:sz w:val="18"/>
              </w:rPr>
              <w:t>Selective/niche opportunities. Sylhet is diaspora and family-travel oriented; Rajshahi fits a value-led approach.</w:t>
            </w:r>
          </w:p>
        </w:tc>
      </w:tr>
      <w:tr w:rsidR="00A65B91" w14:paraId="3B8BF21B" w14:textId="77777777">
        <w:trPr>
          <w:jc w:val="center"/>
        </w:trPr>
        <w:tc>
          <w:tcPr>
            <w:tcW w:w="3289" w:type="dxa"/>
            <w:tcMar>
              <w:top w:w="90" w:type="dxa"/>
              <w:left w:w="110" w:type="dxa"/>
              <w:bottom w:w="90" w:type="dxa"/>
              <w:right w:w="110" w:type="dxa"/>
            </w:tcMar>
            <w:vAlign w:val="center"/>
          </w:tcPr>
          <w:p w14:paraId="724FAB19" w14:textId="77777777" w:rsidR="00A65B91" w:rsidRDefault="00C70B9D" w:rsidP="006408FB">
            <w:pPr>
              <w:spacing w:before="40" w:after="40" w:line="252" w:lineRule="auto"/>
              <w:jc w:val="center"/>
            </w:pPr>
            <w:r>
              <w:rPr>
                <w:sz w:val="18"/>
              </w:rPr>
              <w:t>Tier 4</w:t>
            </w:r>
          </w:p>
        </w:tc>
        <w:tc>
          <w:tcPr>
            <w:tcW w:w="3289" w:type="dxa"/>
            <w:tcMar>
              <w:top w:w="90" w:type="dxa"/>
              <w:left w:w="110" w:type="dxa"/>
              <w:bottom w:w="90" w:type="dxa"/>
              <w:right w:w="110" w:type="dxa"/>
            </w:tcMar>
            <w:vAlign w:val="center"/>
          </w:tcPr>
          <w:p w14:paraId="7563C63B" w14:textId="77777777" w:rsidR="00A65B91" w:rsidRDefault="00C70B9D" w:rsidP="006408FB">
            <w:pPr>
              <w:spacing w:before="40" w:after="40" w:line="252" w:lineRule="auto"/>
              <w:jc w:val="center"/>
            </w:pPr>
            <w:r>
              <w:rPr>
                <w:sz w:val="18"/>
              </w:rPr>
              <w:t>Barisal, Khulna</w:t>
            </w:r>
          </w:p>
        </w:tc>
        <w:tc>
          <w:tcPr>
            <w:tcW w:w="3289" w:type="dxa"/>
            <w:tcMar>
              <w:top w:w="90" w:type="dxa"/>
              <w:left w:w="110" w:type="dxa"/>
              <w:bottom w:w="90" w:type="dxa"/>
              <w:right w:w="110" w:type="dxa"/>
            </w:tcMar>
            <w:vAlign w:val="center"/>
          </w:tcPr>
          <w:p w14:paraId="0FB8B1DC" w14:textId="77777777" w:rsidR="00A65B91" w:rsidRDefault="00C70B9D">
            <w:pPr>
              <w:spacing w:before="40" w:after="40" w:line="252" w:lineRule="auto"/>
            </w:pPr>
            <w:r>
              <w:rPr>
                <w:sz w:val="18"/>
              </w:rPr>
              <w:t xml:space="preserve">Barisal appears premium but is too thin; Khulna needs more validation </w:t>
            </w:r>
            <w:r>
              <w:rPr>
                <w:sz w:val="18"/>
              </w:rPr>
              <w:lastRenderedPageBreak/>
              <w:t>before capital deployment.</w:t>
            </w:r>
          </w:p>
        </w:tc>
      </w:tr>
      <w:tr w:rsidR="00A65B91" w14:paraId="31848FFB" w14:textId="77777777">
        <w:trPr>
          <w:jc w:val="center"/>
        </w:trPr>
        <w:tc>
          <w:tcPr>
            <w:tcW w:w="3289" w:type="dxa"/>
            <w:shd w:val="clear" w:color="auto" w:fill="F4F6F8"/>
            <w:tcMar>
              <w:top w:w="90" w:type="dxa"/>
              <w:left w:w="110" w:type="dxa"/>
              <w:bottom w:w="90" w:type="dxa"/>
              <w:right w:w="110" w:type="dxa"/>
            </w:tcMar>
            <w:vAlign w:val="center"/>
          </w:tcPr>
          <w:p w14:paraId="02D3BD98" w14:textId="77777777" w:rsidR="00A65B91" w:rsidRDefault="00C70B9D" w:rsidP="006408FB">
            <w:pPr>
              <w:spacing w:before="40" w:after="40" w:line="252" w:lineRule="auto"/>
              <w:jc w:val="center"/>
            </w:pPr>
            <w:r>
              <w:rPr>
                <w:sz w:val="18"/>
              </w:rPr>
              <w:lastRenderedPageBreak/>
              <w:t>Tier 5</w:t>
            </w:r>
          </w:p>
        </w:tc>
        <w:tc>
          <w:tcPr>
            <w:tcW w:w="3289" w:type="dxa"/>
            <w:shd w:val="clear" w:color="auto" w:fill="F4F6F8"/>
            <w:tcMar>
              <w:top w:w="90" w:type="dxa"/>
              <w:left w:w="110" w:type="dxa"/>
              <w:bottom w:w="90" w:type="dxa"/>
              <w:right w:w="110" w:type="dxa"/>
            </w:tcMar>
            <w:vAlign w:val="center"/>
          </w:tcPr>
          <w:p w14:paraId="101D2426" w14:textId="77777777" w:rsidR="00A65B91" w:rsidRDefault="00C70B9D" w:rsidP="006408FB">
            <w:pPr>
              <w:spacing w:before="40" w:after="40" w:line="252" w:lineRule="auto"/>
              <w:jc w:val="center"/>
            </w:pPr>
            <w:r>
              <w:rPr>
                <w:sz w:val="18"/>
              </w:rPr>
              <w:t>Rangpur, Mymensingh</w:t>
            </w:r>
          </w:p>
        </w:tc>
        <w:tc>
          <w:tcPr>
            <w:tcW w:w="3289" w:type="dxa"/>
            <w:shd w:val="clear" w:color="auto" w:fill="F4F6F8"/>
            <w:tcMar>
              <w:top w:w="90" w:type="dxa"/>
              <w:left w:w="110" w:type="dxa"/>
              <w:bottom w:w="90" w:type="dxa"/>
              <w:right w:w="110" w:type="dxa"/>
            </w:tcMar>
            <w:vAlign w:val="center"/>
          </w:tcPr>
          <w:p w14:paraId="49007490" w14:textId="77777777" w:rsidR="00A65B91" w:rsidRDefault="00C70B9D">
            <w:pPr>
              <w:spacing w:before="40" w:after="40" w:line="252" w:lineRule="auto"/>
            </w:pPr>
            <w:r>
              <w:rPr>
                <w:sz w:val="18"/>
              </w:rPr>
              <w:t>Insufficient depth for a confident first-entry recommendation.</w:t>
            </w:r>
          </w:p>
        </w:tc>
      </w:tr>
    </w:tbl>
    <w:p w14:paraId="45945797" w14:textId="77777777" w:rsidR="00A65B91" w:rsidRDefault="00C70B9D">
      <w:pPr>
        <w:pStyle w:val="Heading1"/>
        <w:spacing w:before="240" w:after="120"/>
      </w:pPr>
      <w:r>
        <w:rPr>
          <w:color w:val="223A5E"/>
          <w:sz w:val="30"/>
        </w:rPr>
        <w:t>6. Division-by-Division Analysis</w:t>
      </w:r>
    </w:p>
    <w:p w14:paraId="66F119AA" w14:textId="77777777" w:rsidR="00A65B91" w:rsidRDefault="00C70B9D">
      <w:pPr>
        <w:pStyle w:val="Heading2"/>
        <w:spacing w:before="160" w:after="80"/>
      </w:pPr>
      <w:r>
        <w:rPr>
          <w:color w:val="345681"/>
          <w:sz w:val="24"/>
        </w:rPr>
        <w:t>6.1 Dhaka: strongest first-entry market</w:t>
      </w:r>
    </w:p>
    <w:p w14:paraId="4A72787B" w14:textId="77777777" w:rsidR="00A65B91" w:rsidRDefault="00C70B9D">
      <w:pPr>
        <w:pStyle w:val="ListBullet"/>
        <w:spacing w:after="60" w:line="264" w:lineRule="auto"/>
      </w:pPr>
      <w:r>
        <w:t>Dashboard evidence: 656 listings, 4,206 reviews, $40.88 average nightly price, 4.74 average rating, 95.75% host response rate, 150 superhosts, 22.9% superhost proportion, and 344 distinct hosts.</w:t>
      </w:r>
    </w:p>
    <w:p w14:paraId="2484EBD7" w14:textId="77777777" w:rsidR="00A65B91" w:rsidRDefault="00C70B9D">
      <w:pPr>
        <w:pStyle w:val="ListBullet"/>
        <w:spacing w:after="60" w:line="264" w:lineRule="auto"/>
      </w:pPr>
      <w:r>
        <w:t>Secondary evidence: roughly 653 active listings in early 2026, 42% median occupancy, BDT 691K median annual revenue, and strong supply growth. External research characterizes Dhaka demand as corporate, expat, medical, relocation, and medium-stay rather than purely leisure-driven.</w:t>
      </w:r>
    </w:p>
    <w:p w14:paraId="1A5852D3" w14:textId="77777777" w:rsidR="00A65B91" w:rsidRDefault="00C70B9D">
      <w:pPr>
        <w:pStyle w:val="ListBullet"/>
        <w:spacing w:after="60" w:line="264" w:lineRule="auto"/>
      </w:pPr>
      <w:r>
        <w:t>Demand logic: Dhaka is the only market in this study with both scale and year-round business/travel drivers. The city also offers the richest neighborhood segmentation, including Gulshan and Banani for executive and diplomatic demand, Dhanmondi for medical and academic demand, and Uttara for airport-linked stays.</w:t>
      </w:r>
    </w:p>
    <w:p w14:paraId="496E3993" w14:textId="77777777" w:rsidR="00A65B91" w:rsidRDefault="00C70B9D">
      <w:pPr>
        <w:pStyle w:val="ListBullet"/>
        <w:spacing w:after="60" w:line="264" w:lineRule="auto"/>
      </w:pPr>
      <w:r>
        <w:t>Strategic read: Dhaka should be treated as the benchmark market. The client should enter here first unless they have a very strong property-specific advantage elsewhere.</w:t>
      </w:r>
    </w:p>
    <w:p w14:paraId="24A39CD6" w14:textId="77777777" w:rsidR="00A65B91" w:rsidRDefault="00C70B9D">
      <w:pPr>
        <w:pStyle w:val="Heading2"/>
        <w:spacing w:before="160" w:after="80"/>
      </w:pPr>
      <w:r>
        <w:rPr>
          <w:color w:val="345681"/>
          <w:sz w:val="24"/>
        </w:rPr>
        <w:t>6.2 Chattogram: best secondary market</w:t>
      </w:r>
    </w:p>
    <w:p w14:paraId="33C48ED1" w14:textId="77777777" w:rsidR="00A65B91" w:rsidRDefault="00C70B9D">
      <w:pPr>
        <w:pStyle w:val="ListBullet"/>
        <w:spacing w:after="60" w:line="264" w:lineRule="auto"/>
      </w:pPr>
      <w:r>
        <w:t>Dashboard evidence: 317 listings, 266 reviews, $62.57 average nightly price, 4.65 average rating, 62.62% average response rate, 26 superhosts, and 116 distinct hosts.</w:t>
      </w:r>
    </w:p>
    <w:p w14:paraId="16A7AFEF" w14:textId="77777777" w:rsidR="00A65B91" w:rsidRDefault="00C70B9D">
      <w:pPr>
        <w:pStyle w:val="ListBullet"/>
        <w:spacing w:after="60" w:line="264" w:lineRule="auto"/>
      </w:pPr>
      <w:r>
        <w:t>Secondary evidence: Chattogram appears to be a micro-market with only around 17-24 active Airbnb listings in the external benchmark, but supply grew 142.9% year on year and revenue reportedly grew 37.5%. The city benefits from port, industrial, EPZ, and trade-linked travel.</w:t>
      </w:r>
    </w:p>
    <w:p w14:paraId="3A152CA8" w14:textId="77777777" w:rsidR="00A65B91" w:rsidRDefault="00C70B9D">
      <w:pPr>
        <w:pStyle w:val="ListBullet"/>
        <w:spacing w:after="60" w:line="264" w:lineRule="auto"/>
      </w:pPr>
      <w:r>
        <w:t>Demand logic: Chattogram is attractive because it combines real business demand with lower listing density than Dhaka. It is not as operationally polished, but that may create room for a professionally run listing to stand out faster.</w:t>
      </w:r>
    </w:p>
    <w:p w14:paraId="595EF1C9" w14:textId="77777777" w:rsidR="00A65B91" w:rsidRDefault="00C70B9D">
      <w:pPr>
        <w:pStyle w:val="ListBullet"/>
        <w:spacing w:after="60" w:line="264" w:lineRule="auto"/>
      </w:pPr>
      <w:r>
        <w:t>Strategic read: Chattogram is the best expansion or second-city option for a host who can tolerate slightly higher volatility and lower benchmark density.</w:t>
      </w:r>
    </w:p>
    <w:p w14:paraId="2A6E942C" w14:textId="77777777" w:rsidR="00A65B91" w:rsidRDefault="00C70B9D">
      <w:pPr>
        <w:pStyle w:val="Heading2"/>
        <w:spacing w:before="160" w:after="80"/>
      </w:pPr>
      <w:r>
        <w:rPr>
          <w:color w:val="345681"/>
          <w:sz w:val="24"/>
        </w:rPr>
        <w:t>6.3 Sylhet: niche market with diaspora and family-travel potential</w:t>
      </w:r>
    </w:p>
    <w:p w14:paraId="6F3721E4" w14:textId="77777777" w:rsidR="00A65B91" w:rsidRDefault="00C70B9D">
      <w:pPr>
        <w:pStyle w:val="ListBullet"/>
        <w:spacing w:after="60" w:line="264" w:lineRule="auto"/>
      </w:pPr>
      <w:r>
        <w:t>Dashboard evidence: 158 listings, 85 reviews, $36.00 average nightly price, 4.44 average listing rating, 90.54% average response rate, and 113 distinct hosts.</w:t>
      </w:r>
    </w:p>
    <w:p w14:paraId="311C13BA" w14:textId="77777777" w:rsidR="00A65B91" w:rsidRDefault="00C70B9D">
      <w:pPr>
        <w:pStyle w:val="ListBullet"/>
        <w:spacing w:after="60" w:line="264" w:lineRule="auto"/>
      </w:pPr>
      <w:r>
        <w:t>Secondary evidence: Sylhet demand is linked to diaspora visits, family travel, tea-garden tourism, and episodic leisure. The research note highlights a strong August peak that aligns with UK summer travel patterns.</w:t>
      </w:r>
    </w:p>
    <w:p w14:paraId="1D2D8FA1" w14:textId="77777777" w:rsidR="00A65B91" w:rsidRDefault="00C70B9D">
      <w:pPr>
        <w:pStyle w:val="ListBullet"/>
        <w:spacing w:after="60" w:line="264" w:lineRule="auto"/>
      </w:pPr>
      <w:r>
        <w:t>Strategic read: Sylhet is not the best first-entry market for a generic investor, but it can be viable for a property that is clearly positioned for family stays, diaspora visits, and seasonal demand. Cashflow assumptions should be conservative because seasonality is likely stronger than in Dhaka.</w:t>
      </w:r>
    </w:p>
    <w:p w14:paraId="77EBCAC8" w14:textId="77777777" w:rsidR="00A65B91" w:rsidRDefault="00C70B9D">
      <w:pPr>
        <w:pStyle w:val="Heading2"/>
        <w:spacing w:before="160" w:after="80"/>
      </w:pPr>
      <w:r>
        <w:rPr>
          <w:color w:val="345681"/>
          <w:sz w:val="24"/>
        </w:rPr>
        <w:t>6.4 Rajshahi: value-oriented and smaller-scale</w:t>
      </w:r>
    </w:p>
    <w:p w14:paraId="2BCF5CCF" w14:textId="77777777" w:rsidR="00A65B91" w:rsidRDefault="00C70B9D">
      <w:pPr>
        <w:pStyle w:val="ListBullet"/>
        <w:spacing w:after="60" w:line="264" w:lineRule="auto"/>
      </w:pPr>
      <w:r>
        <w:t>Dashboard evidence: 67 listings, 13 reviews, $33.00 average nightly price, 4.80 average rating, 52.65% response rate, and 25 distinct hosts.</w:t>
      </w:r>
    </w:p>
    <w:p w14:paraId="4D28384E" w14:textId="77777777" w:rsidR="00A65B91" w:rsidRDefault="00C70B9D">
      <w:pPr>
        <w:pStyle w:val="ListBullet"/>
        <w:spacing w:after="60" w:line="264" w:lineRule="auto"/>
      </w:pPr>
      <w:r>
        <w:t>Secondary evidence: Rajshahi is described in the research note as a low-maturity STR environment with demand tied to academia, agriculture, and heritage/cultural travel.</w:t>
      </w:r>
    </w:p>
    <w:p w14:paraId="1B04F0A4" w14:textId="77777777" w:rsidR="00A65B91" w:rsidRDefault="00C70B9D">
      <w:pPr>
        <w:pStyle w:val="ListBullet"/>
        <w:spacing w:after="60" w:line="264" w:lineRule="auto"/>
      </w:pPr>
      <w:r>
        <w:t>Strategic read: Rajshahi is more suitable for a low-cost value strategy than for premium positioning. It may work for a small pilot if acquisition or lease cost is low and if the operator has local distribution advantages.</w:t>
      </w:r>
    </w:p>
    <w:p w14:paraId="27907110" w14:textId="77777777" w:rsidR="00A65B91" w:rsidRDefault="00C70B9D">
      <w:pPr>
        <w:pStyle w:val="Heading2"/>
        <w:spacing w:before="160" w:after="80"/>
      </w:pPr>
      <w:r>
        <w:rPr>
          <w:color w:val="345681"/>
          <w:sz w:val="24"/>
        </w:rPr>
        <w:t>6.5 Barisal: premium signal, low confidence</w:t>
      </w:r>
    </w:p>
    <w:p w14:paraId="6B4E301A" w14:textId="77777777" w:rsidR="00A65B91" w:rsidRDefault="00C70B9D">
      <w:pPr>
        <w:pStyle w:val="ListBullet"/>
        <w:spacing w:after="60" w:line="264" w:lineRule="auto"/>
      </w:pPr>
      <w:r>
        <w:t>Dashboard evidence: 52 listings, only 3 reviews, $121 average nightly price, 5.00 average rating, 46% response rate, and 14 distinct hosts.</w:t>
      </w:r>
    </w:p>
    <w:p w14:paraId="3198459D" w14:textId="77777777" w:rsidR="00A65B91" w:rsidRDefault="00C70B9D">
      <w:pPr>
        <w:pStyle w:val="ListBullet"/>
        <w:spacing w:after="60" w:line="264" w:lineRule="auto"/>
      </w:pPr>
      <w:r>
        <w:t>Interpretation: Barisal's headline price and rating are too influenced by thin data to support a strong capital recommendation. The market may support a boutique or premium niche, but the evidence base is too weak to treat the average price as dependable.</w:t>
      </w:r>
    </w:p>
    <w:p w14:paraId="39B36EBA" w14:textId="77777777" w:rsidR="00A65B91" w:rsidRDefault="00C70B9D">
      <w:pPr>
        <w:pStyle w:val="ListBullet"/>
        <w:spacing w:after="60" w:line="264" w:lineRule="auto"/>
      </w:pPr>
      <w:r>
        <w:lastRenderedPageBreak/>
        <w:t>Strategic read: Barisal belongs on a watchlist, not at the front of the entry queue.</w:t>
      </w:r>
    </w:p>
    <w:p w14:paraId="33ABB57B" w14:textId="77777777" w:rsidR="00A65B91" w:rsidRDefault="00C70B9D">
      <w:pPr>
        <w:pStyle w:val="Heading2"/>
        <w:spacing w:before="160" w:after="80"/>
      </w:pPr>
      <w:r>
        <w:rPr>
          <w:color w:val="345681"/>
          <w:sz w:val="24"/>
        </w:rPr>
        <w:t>6.6 Khulna, Rangpur, and Mymensingh: early-stage and low-confidence</w:t>
      </w:r>
    </w:p>
    <w:p w14:paraId="5D5DF657" w14:textId="77777777" w:rsidR="00A65B91" w:rsidRDefault="00C70B9D">
      <w:pPr>
        <w:pStyle w:val="ListBullet"/>
        <w:spacing w:after="60" w:line="264" w:lineRule="auto"/>
      </w:pPr>
      <w:r>
        <w:t>Khulna appears in the dashboard with 52 listings and roughly mid-4-star ratings, but complete standalone operating metrics were not visible in the images reviewed. The secondary note also describes Khulna as a low-maturity market tied to eco-tourism and NGO movement rather than broad platform demand.</w:t>
      </w:r>
    </w:p>
    <w:p w14:paraId="78C04C75" w14:textId="77777777" w:rsidR="00A65B91" w:rsidRDefault="00C70B9D">
      <w:pPr>
        <w:pStyle w:val="ListBullet"/>
        <w:spacing w:after="60" w:line="264" w:lineRule="auto"/>
      </w:pPr>
      <w:r>
        <w:t>Rangpur shows 24 listings, just 1 review, a $38 average price, a 40% response rate, and limited rating visibility - too little evidence for a confident first move.</w:t>
      </w:r>
    </w:p>
    <w:p w14:paraId="04421114" w14:textId="77777777" w:rsidR="00A65B91" w:rsidRDefault="00C70B9D">
      <w:pPr>
        <w:pStyle w:val="ListBullet"/>
        <w:spacing w:after="60" w:line="264" w:lineRule="auto"/>
      </w:pPr>
      <w:r>
        <w:t>Mymensingh shows 21 listings, 5 reviews, a 4.50 average rating, and a 100% response rate, but the market is too small and its average price is not clearly surfaced. These are not currently recommended for a first property unless a client has a compelling local land-cost or demand advantage.</w:t>
      </w:r>
    </w:p>
    <w:p w14:paraId="7595E762" w14:textId="77777777" w:rsidR="00A65B91" w:rsidRDefault="00C70B9D">
      <w:pPr>
        <w:pStyle w:val="Heading1"/>
        <w:spacing w:before="240" w:after="120"/>
      </w:pPr>
      <w:r>
        <w:rPr>
          <w:color w:val="223A5E"/>
          <w:sz w:val="30"/>
        </w:rPr>
        <w:t>7. Positioning, Product Design, and Operating Model</w:t>
      </w:r>
    </w:p>
    <w:p w14:paraId="12DA8082" w14:textId="77777777" w:rsidR="00A65B91" w:rsidRDefault="00C70B9D">
      <w:pPr>
        <w:pStyle w:val="Heading2"/>
        <w:spacing w:before="160" w:after="80"/>
      </w:pPr>
      <w:r>
        <w:rPr>
          <w:color w:val="345681"/>
          <w:sz w:val="24"/>
        </w:rPr>
        <w:t>7.1 Recommended product for the strongest market</w:t>
      </w:r>
    </w:p>
    <w:p w14:paraId="6380AFE6" w14:textId="77777777" w:rsidR="00A65B91" w:rsidRDefault="00C70B9D">
      <w:pPr>
        <w:spacing w:after="120"/>
      </w:pPr>
      <w:r>
        <w:t>For Dhaka, the recommended entry product is not a bare-minimum budget flat. It is a well-equipped, mid-range furnished unit that feels dependable, business-ready, and comfortable for stays from a few nights to several weeks. This recommendation is driven by the dashboard's strong review volume and host professionalism, and by the secondary research showing that corporate, expat, medical, and medium-stay demand are central to the Dhaka market.</w:t>
      </w:r>
    </w:p>
    <w:p w14:paraId="5AE8FEFE" w14:textId="77777777" w:rsidR="00A65B91" w:rsidRDefault="00C70B9D">
      <w:pPr>
        <w:pStyle w:val="Heading2"/>
        <w:spacing w:before="160" w:after="80"/>
      </w:pPr>
      <w:r>
        <w:rPr>
          <w:color w:val="345681"/>
          <w:sz w:val="24"/>
        </w:rPr>
        <w:t>7.2 Amenity package the client should treat as baseline</w:t>
      </w:r>
    </w:p>
    <w:p w14:paraId="378B3A74" w14:textId="77777777" w:rsidR="00A65B91" w:rsidRDefault="00C70B9D">
      <w:pPr>
        <w:pStyle w:val="ListBullet"/>
        <w:spacing w:after="60" w:line="264" w:lineRule="auto"/>
      </w:pPr>
      <w:r>
        <w:t>Fast WiFi / fiber connectivity. The external note indicates WiFi is present in roughly 97% of Dhaka listings and is functionally non-negotiable.</w:t>
      </w:r>
    </w:p>
    <w:p w14:paraId="734E485B" w14:textId="77777777" w:rsidR="00A65B91" w:rsidRDefault="00C70B9D">
      <w:pPr>
        <w:pStyle w:val="ListBullet"/>
        <w:spacing w:after="60" w:line="264" w:lineRule="auto"/>
      </w:pPr>
      <w:r>
        <w:t>Air conditioning in all main sleeping spaces.</w:t>
      </w:r>
    </w:p>
    <w:p w14:paraId="1D3AD18F" w14:textId="77777777" w:rsidR="00A65B91" w:rsidRDefault="00C70B9D">
      <w:pPr>
        <w:pStyle w:val="ListBullet"/>
        <w:spacing w:after="60" w:line="264" w:lineRule="auto"/>
      </w:pPr>
      <w:r>
        <w:t>Refrigerator, microwave or stove access, and basic cookware for longer-stay guests.</w:t>
      </w:r>
    </w:p>
    <w:p w14:paraId="74861038" w14:textId="77777777" w:rsidR="00A65B91" w:rsidRDefault="00C70B9D">
      <w:pPr>
        <w:pStyle w:val="ListBullet"/>
        <w:spacing w:after="60" w:line="264" w:lineRule="auto"/>
      </w:pPr>
      <w:r>
        <w:t>Washer / laundry access, which is especially important for medium-stay guests.</w:t>
      </w:r>
    </w:p>
    <w:p w14:paraId="56293A2A" w14:textId="77777777" w:rsidR="00A65B91" w:rsidRDefault="00C70B9D">
      <w:pPr>
        <w:pStyle w:val="ListBullet"/>
        <w:spacing w:after="60" w:line="264" w:lineRule="auto"/>
      </w:pPr>
      <w:r>
        <w:t>Bathroom essentials, hot water, and reliable plumbing maintenance.</w:t>
      </w:r>
    </w:p>
    <w:p w14:paraId="06A946FC" w14:textId="77777777" w:rsidR="00A65B91" w:rsidRDefault="00C70B9D">
      <w:pPr>
        <w:pStyle w:val="ListBullet"/>
        <w:spacing w:after="60" w:line="264" w:lineRule="auto"/>
      </w:pPr>
      <w:r>
        <w:t>Safety features: door security, fire equipment, building access control, and ideally self-check-in capability.</w:t>
      </w:r>
    </w:p>
    <w:p w14:paraId="2714F057" w14:textId="77777777" w:rsidR="00A65B91" w:rsidRDefault="00C70B9D">
      <w:pPr>
        <w:pStyle w:val="ListBullet"/>
        <w:spacing w:after="60" w:line="264" w:lineRule="auto"/>
      </w:pPr>
      <w:r>
        <w:t>Power backup or at minimum a credible plan for outages, given Bangladesh electricity reliability concerns.</w:t>
      </w:r>
    </w:p>
    <w:p w14:paraId="6954F552" w14:textId="77777777" w:rsidR="00A65B91" w:rsidRDefault="00C70B9D">
      <w:pPr>
        <w:pStyle w:val="Heading2"/>
        <w:spacing w:before="160" w:after="80"/>
      </w:pPr>
      <w:r>
        <w:rPr>
          <w:color w:val="345681"/>
          <w:sz w:val="24"/>
        </w:rPr>
        <w:t>7.3 Operational standard required to compete</w:t>
      </w:r>
    </w:p>
    <w:p w14:paraId="7B544212" w14:textId="77777777" w:rsidR="00A65B91" w:rsidRDefault="00C70B9D">
      <w:pPr>
        <w:spacing w:after="120"/>
      </w:pPr>
      <w:r>
        <w:t>The dashboard and the secondary note both point to one clear reality: success depends on operations, not just property ownership. Response speed, cleanliness, accuracy of the listing, and check-in quality are all likely to affect occupancy and review quality. The external research note also summarizes global evidence that Superhost listings earn materially more revenue through higher occupancy rather than higher ADR alone. Operational excellence should therefore be planned from day one, not treated as an upgrade after launch.</w:t>
      </w:r>
    </w:p>
    <w:p w14:paraId="6A77B355" w14:textId="77777777" w:rsidR="00A65B91" w:rsidRDefault="00C70B9D">
      <w:pPr>
        <w:pStyle w:val="ListBullet"/>
        <w:spacing w:after="60" w:line="264" w:lineRule="auto"/>
      </w:pPr>
      <w:r>
        <w:t>Response within 1 hour during active guest windows.</w:t>
      </w:r>
    </w:p>
    <w:p w14:paraId="0D27BB65" w14:textId="77777777" w:rsidR="00A65B91" w:rsidRDefault="00C70B9D">
      <w:pPr>
        <w:pStyle w:val="ListBullet"/>
        <w:spacing w:after="60" w:line="264" w:lineRule="auto"/>
      </w:pPr>
      <w:r>
        <w:t>Cleaning process that is professionalized and repeatable.</w:t>
      </w:r>
    </w:p>
    <w:p w14:paraId="484CBA4D" w14:textId="77777777" w:rsidR="00A65B91" w:rsidRDefault="00C70B9D">
      <w:pPr>
        <w:pStyle w:val="ListBullet"/>
        <w:spacing w:after="60" w:line="264" w:lineRule="auto"/>
      </w:pPr>
      <w:r>
        <w:t>Professional photography at launch.</w:t>
      </w:r>
    </w:p>
    <w:p w14:paraId="4294070C" w14:textId="77777777" w:rsidR="00A65B91" w:rsidRDefault="00C70B9D">
      <w:pPr>
        <w:pStyle w:val="ListBullet"/>
        <w:spacing w:after="60" w:line="264" w:lineRule="auto"/>
      </w:pPr>
      <w:r>
        <w:t>Automated pre-arrival, check-in, and follow-up communication templates.</w:t>
      </w:r>
    </w:p>
    <w:p w14:paraId="43DF207D" w14:textId="77777777" w:rsidR="00A65B91" w:rsidRDefault="00C70B9D">
      <w:pPr>
        <w:pStyle w:val="ListBullet"/>
        <w:spacing w:after="60" w:line="264" w:lineRule="auto"/>
      </w:pPr>
      <w:r>
        <w:t>Instant-book friendly policies where building security permits it.</w:t>
      </w:r>
    </w:p>
    <w:p w14:paraId="61EE4009" w14:textId="77777777" w:rsidR="00A65B91" w:rsidRDefault="00C70B9D">
      <w:pPr>
        <w:pStyle w:val="ListBullet"/>
        <w:spacing w:after="60" w:line="264" w:lineRule="auto"/>
      </w:pPr>
      <w:r>
        <w:t>Early-review acquisition strategy through controlled launch pricing rather than aggressive long-term discounting.</w:t>
      </w:r>
    </w:p>
    <w:p w14:paraId="0C1B974D" w14:textId="77777777" w:rsidR="00A65B91" w:rsidRDefault="00C70B9D">
      <w:pPr>
        <w:pStyle w:val="Heading1"/>
        <w:spacing w:before="240" w:after="120"/>
      </w:pPr>
      <w:r>
        <w:rPr>
          <w:color w:val="223A5E"/>
          <w:sz w:val="30"/>
        </w:rPr>
        <w:t>8. Economics, Seasonality, and Financial Framing</w:t>
      </w:r>
    </w:p>
    <w:p w14:paraId="19882C62" w14:textId="77777777" w:rsidR="00A65B91" w:rsidRDefault="00C70B9D">
      <w:pPr>
        <w:pStyle w:val="Heading2"/>
        <w:spacing w:before="160" w:after="80"/>
      </w:pPr>
      <w:r>
        <w:rPr>
          <w:color w:val="345681"/>
          <w:sz w:val="24"/>
        </w:rPr>
        <w:t>8.1 What the external benchmarks add</w:t>
      </w:r>
    </w:p>
    <w:p w14:paraId="181B630D" w14:textId="77777777" w:rsidR="00A65B91" w:rsidRDefault="00C70B9D">
      <w:pPr>
        <w:spacing w:after="120"/>
      </w:pPr>
      <w:r>
        <w:t>The external research strengthens the dashboard by adding rent, furnishing, and operating-cost context. In Dhaka, furnished rent ranges vary significantly by neighborhood: Gulshan and Banani sit at the top end, while Dhanmondi, Uttara, and Bashundhara generally offer more accessible entry points. The note also estimates that a 2-bedroom Airbnb-ready setup may require approximately BDT 13-19 lac depending on finish level, while self-managed operating costs may absorb roughly 30-45% of gross revenue and externally managed models can absorb 45-65%.</w:t>
      </w:r>
    </w:p>
    <w:p w14:paraId="6DB3AD15" w14:textId="77777777" w:rsidR="00A65B91" w:rsidRDefault="00C70B9D">
      <w:pPr>
        <w:pStyle w:val="Heading2"/>
        <w:spacing w:before="160" w:after="80"/>
      </w:pPr>
      <w:r>
        <w:rPr>
          <w:color w:val="345681"/>
          <w:sz w:val="24"/>
        </w:rPr>
        <w:lastRenderedPageBreak/>
        <w:t>8.2 Practical cost logic for decision-making</w:t>
      </w:r>
    </w:p>
    <w:p w14:paraId="2103E3C9" w14:textId="77777777" w:rsidR="00A65B91" w:rsidRDefault="00C70B9D">
      <w:pPr>
        <w:pStyle w:val="ListBullet"/>
        <w:spacing w:after="60" w:line="264" w:lineRule="auto"/>
      </w:pPr>
      <w:r>
        <w:t>Dhaka economics can work when the client secures the right neighborhood and controls furnishing spend. Over-capitalizing the interior before demand is proven can destroy returns.</w:t>
      </w:r>
    </w:p>
    <w:p w14:paraId="2D4651E4" w14:textId="77777777" w:rsidR="00A65B91" w:rsidRDefault="00C70B9D">
      <w:pPr>
        <w:pStyle w:val="ListBullet"/>
        <w:spacing w:after="60" w:line="264" w:lineRule="auto"/>
      </w:pPr>
      <w:r>
        <w:t>Self-management or tightly supervised local management materially improves margin structure in Bangladesh.</w:t>
      </w:r>
    </w:p>
    <w:p w14:paraId="7DC05052" w14:textId="77777777" w:rsidR="00A65B91" w:rsidRDefault="00C70B9D">
      <w:pPr>
        <w:pStyle w:val="ListBullet"/>
        <w:spacing w:after="60" w:line="264" w:lineRule="auto"/>
      </w:pPr>
      <w:r>
        <w:t>Electricity and backup-power exposure should be treated as a real operating line, not a rounding error.</w:t>
      </w:r>
    </w:p>
    <w:p w14:paraId="55D65858" w14:textId="77777777" w:rsidR="00A65B91" w:rsidRDefault="00C70B9D">
      <w:pPr>
        <w:pStyle w:val="ListBullet"/>
        <w:spacing w:after="60" w:line="264" w:lineRule="auto"/>
      </w:pPr>
      <w:r>
        <w:t>The client should use at least three occupancy scenarios before committing capital: a stress case, a base case, and a strong case.</w:t>
      </w:r>
    </w:p>
    <w:p w14:paraId="1B07F9DE" w14:textId="77777777" w:rsidR="00A65B91" w:rsidRDefault="00C70B9D">
      <w:pPr>
        <w:pStyle w:val="Heading2"/>
        <w:spacing w:before="160" w:after="80"/>
      </w:pPr>
      <w:r>
        <w:rPr>
          <w:color w:val="345681"/>
          <w:sz w:val="24"/>
        </w:rPr>
        <w:t>8.3 Seasonality implications</w:t>
      </w:r>
    </w:p>
    <w:p w14:paraId="1C098195" w14:textId="77777777" w:rsidR="00A65B91" w:rsidRDefault="00C70B9D">
      <w:pPr>
        <w:spacing w:after="120"/>
      </w:pPr>
      <w:r>
        <w:t>The seasonality note matters most for non-Dhaka markets. Leisure-led or diaspora-led demand spikes will not support the same annual cashflow profile as year-round corporate or medical stays. For Dhaka, seasonality is moderated by business travel. For Sylhet, and especially for more tourism-linked or episodic markets, the client should underwrite a much more uneven revenue profile. This argues again for Dhaka as the primary entry market.</w:t>
      </w:r>
    </w:p>
    <w:p w14:paraId="33BCF2FE" w14:textId="77777777" w:rsidR="00A65B91" w:rsidRDefault="00C70B9D">
      <w:pPr>
        <w:pStyle w:val="Heading1"/>
        <w:spacing w:before="240" w:after="120"/>
      </w:pPr>
      <w:r>
        <w:rPr>
          <w:color w:val="223A5E"/>
          <w:sz w:val="30"/>
        </w:rPr>
        <w:t>9. Legal, Tax, and Compliance Considerations</w:t>
      </w:r>
    </w:p>
    <w:p w14:paraId="72C2C726" w14:textId="77777777" w:rsidR="00A65B91" w:rsidRDefault="00C70B9D">
      <w:pPr>
        <w:spacing w:after="120"/>
      </w:pPr>
      <w:r>
        <w:t>The external note adds an important caution: Bangladesh does not yet have a dedicated national STR framework, but that does not mean the legal position is frictionless. Lease terms, subletting restrictions, building-level rules, and tax treatment still matter. In practice, the safest route is to operate from an owned property or a landlord-approved lease with building-level permission and clean tax reporting.</w:t>
      </w:r>
    </w:p>
    <w:p w14:paraId="355EE495" w14:textId="77777777" w:rsidR="00A65B91" w:rsidRDefault="00C70B9D">
      <w:pPr>
        <w:pStyle w:val="ListBullet"/>
        <w:spacing w:after="60" w:line="264" w:lineRule="auto"/>
      </w:pPr>
      <w:r>
        <w:t>Do not assume a rented apartment can be listed on Airbnb without explicit landlord consent.</w:t>
      </w:r>
    </w:p>
    <w:p w14:paraId="1473F1A3" w14:textId="77777777" w:rsidR="00A65B91" w:rsidRDefault="00C70B9D">
      <w:pPr>
        <w:pStyle w:val="ListBullet"/>
        <w:spacing w:after="60" w:line="264" w:lineRule="auto"/>
      </w:pPr>
      <w:r>
        <w:t>Review building society or association restrictions before signing any lease or purchase agreement.</w:t>
      </w:r>
    </w:p>
    <w:p w14:paraId="3F09B4F6" w14:textId="77777777" w:rsidR="00A65B91" w:rsidRDefault="00C70B9D">
      <w:pPr>
        <w:pStyle w:val="ListBullet"/>
        <w:spacing w:after="60" w:line="264" w:lineRule="auto"/>
      </w:pPr>
      <w:r>
        <w:t>Maintain tax registration and rental-income reporting discipline from the beginning.</w:t>
      </w:r>
    </w:p>
    <w:p w14:paraId="7270046D" w14:textId="77777777" w:rsidR="00A65B91" w:rsidRDefault="00C70B9D">
      <w:pPr>
        <w:pStyle w:val="ListBullet"/>
        <w:spacing w:after="60" w:line="264" w:lineRule="auto"/>
      </w:pPr>
      <w:r>
        <w:t>Treat guest ID and security procedures as part of the operating model even if platform-specific STR rules are still light.</w:t>
      </w:r>
    </w:p>
    <w:p w14:paraId="4E66B93E" w14:textId="77777777" w:rsidR="00A65B91" w:rsidRDefault="00C70B9D">
      <w:pPr>
        <w:pStyle w:val="Heading1"/>
        <w:spacing w:before="240" w:after="120"/>
      </w:pPr>
      <w:r>
        <w:rPr>
          <w:color w:val="223A5E"/>
          <w:sz w:val="30"/>
        </w:rPr>
        <w:t>10. Risk Register and Key Investor Questions</w:t>
      </w:r>
    </w:p>
    <w:tbl>
      <w:tblPr>
        <w:tblStyle w:val="TableGrid"/>
        <w:tblW w:w="0" w:type="auto"/>
        <w:jc w:val="center"/>
        <w:tblLook w:val="04A0" w:firstRow="1" w:lastRow="0" w:firstColumn="1" w:lastColumn="0" w:noHBand="0" w:noVBand="1"/>
      </w:tblPr>
      <w:tblGrid>
        <w:gridCol w:w="2466"/>
        <w:gridCol w:w="2466"/>
        <w:gridCol w:w="2466"/>
        <w:gridCol w:w="2466"/>
      </w:tblGrid>
      <w:tr w:rsidR="00A65B91" w14:paraId="32074035" w14:textId="77777777">
        <w:trPr>
          <w:jc w:val="center"/>
        </w:trPr>
        <w:tc>
          <w:tcPr>
            <w:tcW w:w="2466" w:type="dxa"/>
            <w:shd w:val="clear" w:color="auto" w:fill="223A5E"/>
            <w:tcMar>
              <w:top w:w="90" w:type="dxa"/>
              <w:left w:w="110" w:type="dxa"/>
              <w:bottom w:w="90" w:type="dxa"/>
              <w:right w:w="110" w:type="dxa"/>
            </w:tcMar>
            <w:vAlign w:val="center"/>
          </w:tcPr>
          <w:p w14:paraId="55DD4BE0" w14:textId="77777777" w:rsidR="00A65B91" w:rsidRDefault="00C70B9D">
            <w:pPr>
              <w:spacing w:before="40" w:after="40" w:line="252" w:lineRule="auto"/>
              <w:jc w:val="center"/>
            </w:pPr>
            <w:r>
              <w:rPr>
                <w:b/>
                <w:color w:val="FFFFFF"/>
                <w:sz w:val="19"/>
              </w:rPr>
              <w:t>Risk</w:t>
            </w:r>
          </w:p>
        </w:tc>
        <w:tc>
          <w:tcPr>
            <w:tcW w:w="2466" w:type="dxa"/>
            <w:shd w:val="clear" w:color="auto" w:fill="223A5E"/>
            <w:tcMar>
              <w:top w:w="90" w:type="dxa"/>
              <w:left w:w="110" w:type="dxa"/>
              <w:bottom w:w="90" w:type="dxa"/>
              <w:right w:w="110" w:type="dxa"/>
            </w:tcMar>
            <w:vAlign w:val="center"/>
          </w:tcPr>
          <w:p w14:paraId="25B4ADBD" w14:textId="77777777" w:rsidR="00A65B91" w:rsidRDefault="00C70B9D">
            <w:pPr>
              <w:spacing w:before="40" w:after="40" w:line="252" w:lineRule="auto"/>
              <w:jc w:val="center"/>
            </w:pPr>
            <w:r>
              <w:rPr>
                <w:b/>
                <w:color w:val="FFFFFF"/>
                <w:sz w:val="19"/>
              </w:rPr>
              <w:t>Why it matters</w:t>
            </w:r>
          </w:p>
        </w:tc>
        <w:tc>
          <w:tcPr>
            <w:tcW w:w="2466" w:type="dxa"/>
            <w:shd w:val="clear" w:color="auto" w:fill="223A5E"/>
            <w:tcMar>
              <w:top w:w="90" w:type="dxa"/>
              <w:left w:w="110" w:type="dxa"/>
              <w:bottom w:w="90" w:type="dxa"/>
              <w:right w:w="110" w:type="dxa"/>
            </w:tcMar>
            <w:vAlign w:val="center"/>
          </w:tcPr>
          <w:p w14:paraId="1F79EB94" w14:textId="77777777" w:rsidR="00A65B91" w:rsidRDefault="00C70B9D">
            <w:pPr>
              <w:spacing w:before="40" w:after="40" w:line="252" w:lineRule="auto"/>
              <w:jc w:val="center"/>
            </w:pPr>
            <w:r>
              <w:rPr>
                <w:b/>
                <w:color w:val="FFFFFF"/>
                <w:sz w:val="19"/>
              </w:rPr>
              <w:t>Severity</w:t>
            </w:r>
          </w:p>
        </w:tc>
        <w:tc>
          <w:tcPr>
            <w:tcW w:w="2466" w:type="dxa"/>
            <w:shd w:val="clear" w:color="auto" w:fill="223A5E"/>
            <w:tcMar>
              <w:top w:w="90" w:type="dxa"/>
              <w:left w:w="110" w:type="dxa"/>
              <w:bottom w:w="90" w:type="dxa"/>
              <w:right w:w="110" w:type="dxa"/>
            </w:tcMar>
            <w:vAlign w:val="center"/>
          </w:tcPr>
          <w:p w14:paraId="234F3DEC" w14:textId="77777777" w:rsidR="00A65B91" w:rsidRDefault="00C70B9D">
            <w:pPr>
              <w:spacing w:before="40" w:after="40" w:line="252" w:lineRule="auto"/>
              <w:jc w:val="center"/>
            </w:pPr>
            <w:r>
              <w:rPr>
                <w:b/>
                <w:color w:val="FFFFFF"/>
                <w:sz w:val="19"/>
              </w:rPr>
              <w:t>Mitigation / decision rule</w:t>
            </w:r>
          </w:p>
        </w:tc>
      </w:tr>
      <w:tr w:rsidR="00A65B91" w14:paraId="63756983" w14:textId="77777777">
        <w:trPr>
          <w:jc w:val="center"/>
        </w:trPr>
        <w:tc>
          <w:tcPr>
            <w:tcW w:w="2466" w:type="dxa"/>
            <w:shd w:val="clear" w:color="auto" w:fill="F4F6F8"/>
            <w:tcMar>
              <w:top w:w="90" w:type="dxa"/>
              <w:left w:w="110" w:type="dxa"/>
              <w:bottom w:w="90" w:type="dxa"/>
              <w:right w:w="110" w:type="dxa"/>
            </w:tcMar>
            <w:vAlign w:val="center"/>
          </w:tcPr>
          <w:p w14:paraId="5B36F0F1" w14:textId="77777777" w:rsidR="00A65B91" w:rsidRDefault="00C70B9D">
            <w:pPr>
              <w:spacing w:before="40" w:after="40" w:line="252" w:lineRule="auto"/>
            </w:pPr>
            <w:r>
              <w:rPr>
                <w:sz w:val="18"/>
              </w:rPr>
              <w:t>Political disruption</w:t>
            </w:r>
          </w:p>
        </w:tc>
        <w:tc>
          <w:tcPr>
            <w:tcW w:w="2466" w:type="dxa"/>
            <w:shd w:val="clear" w:color="auto" w:fill="F4F6F8"/>
            <w:tcMar>
              <w:top w:w="90" w:type="dxa"/>
              <w:left w:w="110" w:type="dxa"/>
              <w:bottom w:w="90" w:type="dxa"/>
              <w:right w:w="110" w:type="dxa"/>
            </w:tcMar>
            <w:vAlign w:val="center"/>
          </w:tcPr>
          <w:p w14:paraId="65C63686" w14:textId="77777777" w:rsidR="00A65B91" w:rsidRDefault="00C70B9D">
            <w:pPr>
              <w:spacing w:before="40" w:after="40" w:line="252" w:lineRule="auto"/>
            </w:pPr>
            <w:r>
              <w:rPr>
                <w:sz w:val="18"/>
              </w:rPr>
              <w:t>Can sharply compress travel demand and booking confidence.</w:t>
            </w:r>
          </w:p>
        </w:tc>
        <w:tc>
          <w:tcPr>
            <w:tcW w:w="2466" w:type="dxa"/>
            <w:shd w:val="clear" w:color="auto" w:fill="F4F6F8"/>
            <w:tcMar>
              <w:top w:w="90" w:type="dxa"/>
              <w:left w:w="110" w:type="dxa"/>
              <w:bottom w:w="90" w:type="dxa"/>
              <w:right w:w="110" w:type="dxa"/>
            </w:tcMar>
            <w:vAlign w:val="center"/>
          </w:tcPr>
          <w:p w14:paraId="00269EE1" w14:textId="77777777" w:rsidR="00A65B91" w:rsidRDefault="00C70B9D">
            <w:pPr>
              <w:spacing w:before="40" w:after="40" w:line="252" w:lineRule="auto"/>
            </w:pPr>
            <w:r>
              <w:rPr>
                <w:sz w:val="18"/>
              </w:rPr>
              <w:t>High</w:t>
            </w:r>
          </w:p>
        </w:tc>
        <w:tc>
          <w:tcPr>
            <w:tcW w:w="2466" w:type="dxa"/>
            <w:shd w:val="clear" w:color="auto" w:fill="F4F6F8"/>
            <w:tcMar>
              <w:top w:w="90" w:type="dxa"/>
              <w:left w:w="110" w:type="dxa"/>
              <w:bottom w:w="90" w:type="dxa"/>
              <w:right w:w="110" w:type="dxa"/>
            </w:tcMar>
            <w:vAlign w:val="center"/>
          </w:tcPr>
          <w:p w14:paraId="64A9DC4D" w14:textId="77777777" w:rsidR="00A65B91" w:rsidRDefault="00C70B9D">
            <w:pPr>
              <w:spacing w:before="40" w:after="40" w:line="252" w:lineRule="auto"/>
            </w:pPr>
            <w:r>
              <w:rPr>
                <w:sz w:val="18"/>
              </w:rPr>
              <w:t>Stress-test cashflow and favor demand segments less dependent on tourism spikes.</w:t>
            </w:r>
          </w:p>
        </w:tc>
      </w:tr>
      <w:tr w:rsidR="00A65B91" w14:paraId="2098C453" w14:textId="77777777">
        <w:trPr>
          <w:jc w:val="center"/>
        </w:trPr>
        <w:tc>
          <w:tcPr>
            <w:tcW w:w="2466" w:type="dxa"/>
            <w:tcMar>
              <w:top w:w="90" w:type="dxa"/>
              <w:left w:w="110" w:type="dxa"/>
              <w:bottom w:w="90" w:type="dxa"/>
              <w:right w:w="110" w:type="dxa"/>
            </w:tcMar>
            <w:vAlign w:val="center"/>
          </w:tcPr>
          <w:p w14:paraId="2A5DB243" w14:textId="77777777" w:rsidR="00A65B91" w:rsidRDefault="00C70B9D">
            <w:pPr>
              <w:spacing w:before="40" w:after="40" w:line="252" w:lineRule="auto"/>
            </w:pPr>
            <w:r>
              <w:rPr>
                <w:sz w:val="18"/>
              </w:rPr>
              <w:t>Thin-market misreading</w:t>
            </w:r>
          </w:p>
        </w:tc>
        <w:tc>
          <w:tcPr>
            <w:tcW w:w="2466" w:type="dxa"/>
            <w:tcMar>
              <w:top w:w="90" w:type="dxa"/>
              <w:left w:w="110" w:type="dxa"/>
              <w:bottom w:w="90" w:type="dxa"/>
              <w:right w:w="110" w:type="dxa"/>
            </w:tcMar>
            <w:vAlign w:val="center"/>
          </w:tcPr>
          <w:p w14:paraId="678C8EDA" w14:textId="77777777" w:rsidR="00A65B91" w:rsidRDefault="00C70B9D">
            <w:pPr>
              <w:spacing w:before="40" w:after="40" w:line="252" w:lineRule="auto"/>
            </w:pPr>
            <w:r>
              <w:rPr>
                <w:sz w:val="18"/>
              </w:rPr>
              <w:t>Small divisions can show attractive prices or ratings that are not statistically reliable.</w:t>
            </w:r>
          </w:p>
        </w:tc>
        <w:tc>
          <w:tcPr>
            <w:tcW w:w="2466" w:type="dxa"/>
            <w:tcMar>
              <w:top w:w="90" w:type="dxa"/>
              <w:left w:w="110" w:type="dxa"/>
              <w:bottom w:w="90" w:type="dxa"/>
              <w:right w:w="110" w:type="dxa"/>
            </w:tcMar>
            <w:vAlign w:val="center"/>
          </w:tcPr>
          <w:p w14:paraId="16512B39" w14:textId="77777777" w:rsidR="00A65B91" w:rsidRDefault="00C70B9D">
            <w:pPr>
              <w:spacing w:before="40" w:after="40" w:line="252" w:lineRule="auto"/>
            </w:pPr>
            <w:r>
              <w:rPr>
                <w:sz w:val="18"/>
              </w:rPr>
              <w:t>High</w:t>
            </w:r>
          </w:p>
        </w:tc>
        <w:tc>
          <w:tcPr>
            <w:tcW w:w="2466" w:type="dxa"/>
            <w:tcMar>
              <w:top w:w="90" w:type="dxa"/>
              <w:left w:w="110" w:type="dxa"/>
              <w:bottom w:w="90" w:type="dxa"/>
              <w:right w:w="110" w:type="dxa"/>
            </w:tcMar>
            <w:vAlign w:val="center"/>
          </w:tcPr>
          <w:p w14:paraId="42F3DE02" w14:textId="77777777" w:rsidR="00A65B91" w:rsidRDefault="00C70B9D">
            <w:pPr>
              <w:spacing w:before="40" w:after="40" w:line="252" w:lineRule="auto"/>
            </w:pPr>
            <w:r>
              <w:rPr>
                <w:sz w:val="18"/>
              </w:rPr>
              <w:t>Do not lead with Barisal, Rangpur, or Mymensingh without further validation.</w:t>
            </w:r>
          </w:p>
        </w:tc>
      </w:tr>
      <w:tr w:rsidR="00A65B91" w14:paraId="00A9138A" w14:textId="77777777">
        <w:trPr>
          <w:jc w:val="center"/>
        </w:trPr>
        <w:tc>
          <w:tcPr>
            <w:tcW w:w="2466" w:type="dxa"/>
            <w:shd w:val="clear" w:color="auto" w:fill="F4F6F8"/>
            <w:tcMar>
              <w:top w:w="90" w:type="dxa"/>
              <w:left w:w="110" w:type="dxa"/>
              <w:bottom w:w="90" w:type="dxa"/>
              <w:right w:w="110" w:type="dxa"/>
            </w:tcMar>
            <w:vAlign w:val="center"/>
          </w:tcPr>
          <w:p w14:paraId="1FB07693" w14:textId="77777777" w:rsidR="00A65B91" w:rsidRDefault="00C70B9D">
            <w:pPr>
              <w:spacing w:before="40" w:after="40" w:line="252" w:lineRule="auto"/>
            </w:pPr>
            <w:r>
              <w:rPr>
                <w:sz w:val="18"/>
              </w:rPr>
              <w:t>Legal / lease friction</w:t>
            </w:r>
          </w:p>
        </w:tc>
        <w:tc>
          <w:tcPr>
            <w:tcW w:w="2466" w:type="dxa"/>
            <w:shd w:val="clear" w:color="auto" w:fill="F4F6F8"/>
            <w:tcMar>
              <w:top w:w="90" w:type="dxa"/>
              <w:left w:w="110" w:type="dxa"/>
              <w:bottom w:w="90" w:type="dxa"/>
              <w:right w:w="110" w:type="dxa"/>
            </w:tcMar>
            <w:vAlign w:val="center"/>
          </w:tcPr>
          <w:p w14:paraId="4FC1B7BF" w14:textId="77777777" w:rsidR="00A65B91" w:rsidRDefault="00C70B9D">
            <w:pPr>
              <w:spacing w:before="40" w:after="40" w:line="252" w:lineRule="auto"/>
            </w:pPr>
            <w:r>
              <w:rPr>
                <w:sz w:val="18"/>
              </w:rPr>
              <w:t>Subletting or building restrictions can kill the strategy before launch.</w:t>
            </w:r>
          </w:p>
        </w:tc>
        <w:tc>
          <w:tcPr>
            <w:tcW w:w="2466" w:type="dxa"/>
            <w:shd w:val="clear" w:color="auto" w:fill="F4F6F8"/>
            <w:tcMar>
              <w:top w:w="90" w:type="dxa"/>
              <w:left w:w="110" w:type="dxa"/>
              <w:bottom w:w="90" w:type="dxa"/>
              <w:right w:w="110" w:type="dxa"/>
            </w:tcMar>
            <w:vAlign w:val="center"/>
          </w:tcPr>
          <w:p w14:paraId="55B30C20" w14:textId="77777777" w:rsidR="00A65B91" w:rsidRDefault="00C70B9D">
            <w:pPr>
              <w:spacing w:before="40" w:after="40" w:line="252" w:lineRule="auto"/>
            </w:pPr>
            <w:r>
              <w:rPr>
                <w:sz w:val="18"/>
              </w:rPr>
              <w:t>High</w:t>
            </w:r>
          </w:p>
        </w:tc>
        <w:tc>
          <w:tcPr>
            <w:tcW w:w="2466" w:type="dxa"/>
            <w:shd w:val="clear" w:color="auto" w:fill="F4F6F8"/>
            <w:tcMar>
              <w:top w:w="90" w:type="dxa"/>
              <w:left w:w="110" w:type="dxa"/>
              <w:bottom w:w="90" w:type="dxa"/>
              <w:right w:w="110" w:type="dxa"/>
            </w:tcMar>
            <w:vAlign w:val="center"/>
          </w:tcPr>
          <w:p w14:paraId="50E51D7D" w14:textId="77777777" w:rsidR="00A65B91" w:rsidRDefault="00C70B9D">
            <w:pPr>
              <w:spacing w:before="40" w:after="40" w:line="252" w:lineRule="auto"/>
            </w:pPr>
            <w:r>
              <w:rPr>
                <w:sz w:val="18"/>
              </w:rPr>
              <w:t>Own the property or secure landlord and building permission upfront.</w:t>
            </w:r>
          </w:p>
        </w:tc>
      </w:tr>
      <w:tr w:rsidR="00A65B91" w14:paraId="60E329AA" w14:textId="77777777">
        <w:trPr>
          <w:jc w:val="center"/>
        </w:trPr>
        <w:tc>
          <w:tcPr>
            <w:tcW w:w="2466" w:type="dxa"/>
            <w:tcMar>
              <w:top w:w="90" w:type="dxa"/>
              <w:left w:w="110" w:type="dxa"/>
              <w:bottom w:w="90" w:type="dxa"/>
              <w:right w:w="110" w:type="dxa"/>
            </w:tcMar>
            <w:vAlign w:val="center"/>
          </w:tcPr>
          <w:p w14:paraId="715F416A" w14:textId="77777777" w:rsidR="00A65B91" w:rsidRDefault="00C70B9D">
            <w:pPr>
              <w:spacing w:before="40" w:after="40" w:line="252" w:lineRule="auto"/>
            </w:pPr>
            <w:r>
              <w:rPr>
                <w:sz w:val="18"/>
              </w:rPr>
              <w:t>Over-capitalization</w:t>
            </w:r>
          </w:p>
        </w:tc>
        <w:tc>
          <w:tcPr>
            <w:tcW w:w="2466" w:type="dxa"/>
            <w:tcMar>
              <w:top w:w="90" w:type="dxa"/>
              <w:left w:w="110" w:type="dxa"/>
              <w:bottom w:w="90" w:type="dxa"/>
              <w:right w:w="110" w:type="dxa"/>
            </w:tcMar>
            <w:vAlign w:val="center"/>
          </w:tcPr>
          <w:p w14:paraId="6E5D66C2" w14:textId="77777777" w:rsidR="00A65B91" w:rsidRDefault="00C70B9D">
            <w:pPr>
              <w:spacing w:before="40" w:after="40" w:line="252" w:lineRule="auto"/>
            </w:pPr>
            <w:r>
              <w:rPr>
                <w:sz w:val="18"/>
              </w:rPr>
              <w:t>Premium furnishing spend can outpace the revenue potential of the location.</w:t>
            </w:r>
          </w:p>
        </w:tc>
        <w:tc>
          <w:tcPr>
            <w:tcW w:w="2466" w:type="dxa"/>
            <w:tcMar>
              <w:top w:w="90" w:type="dxa"/>
              <w:left w:w="110" w:type="dxa"/>
              <w:bottom w:w="90" w:type="dxa"/>
              <w:right w:w="110" w:type="dxa"/>
            </w:tcMar>
            <w:vAlign w:val="center"/>
          </w:tcPr>
          <w:p w14:paraId="103C1166" w14:textId="77777777" w:rsidR="00A65B91" w:rsidRDefault="00C70B9D">
            <w:pPr>
              <w:spacing w:before="40" w:after="40" w:line="252" w:lineRule="auto"/>
            </w:pPr>
            <w:r>
              <w:rPr>
                <w:sz w:val="18"/>
              </w:rPr>
              <w:t>Medium</w:t>
            </w:r>
          </w:p>
        </w:tc>
        <w:tc>
          <w:tcPr>
            <w:tcW w:w="2466" w:type="dxa"/>
            <w:tcMar>
              <w:top w:w="90" w:type="dxa"/>
              <w:left w:w="110" w:type="dxa"/>
              <w:bottom w:w="90" w:type="dxa"/>
              <w:right w:w="110" w:type="dxa"/>
            </w:tcMar>
            <w:vAlign w:val="center"/>
          </w:tcPr>
          <w:p w14:paraId="6B741F56" w14:textId="77777777" w:rsidR="00A65B91" w:rsidRDefault="00C70B9D">
            <w:pPr>
              <w:spacing w:before="40" w:after="40" w:line="252" w:lineRule="auto"/>
            </w:pPr>
            <w:r>
              <w:rPr>
                <w:sz w:val="18"/>
              </w:rPr>
              <w:t>Match finish level to market; start at standard-to-premium, not luxury by default.</w:t>
            </w:r>
          </w:p>
        </w:tc>
      </w:tr>
      <w:tr w:rsidR="00A65B91" w14:paraId="29CD3043" w14:textId="77777777">
        <w:trPr>
          <w:jc w:val="center"/>
        </w:trPr>
        <w:tc>
          <w:tcPr>
            <w:tcW w:w="2466" w:type="dxa"/>
            <w:shd w:val="clear" w:color="auto" w:fill="F4F6F8"/>
            <w:tcMar>
              <w:top w:w="90" w:type="dxa"/>
              <w:left w:w="110" w:type="dxa"/>
              <w:bottom w:w="90" w:type="dxa"/>
              <w:right w:w="110" w:type="dxa"/>
            </w:tcMar>
            <w:vAlign w:val="center"/>
          </w:tcPr>
          <w:p w14:paraId="05C24FAE" w14:textId="77777777" w:rsidR="00A65B91" w:rsidRDefault="00C70B9D">
            <w:pPr>
              <w:spacing w:before="40" w:after="40" w:line="252" w:lineRule="auto"/>
            </w:pPr>
            <w:r>
              <w:rPr>
                <w:sz w:val="18"/>
              </w:rPr>
              <w:t>Operational underperformance</w:t>
            </w:r>
          </w:p>
        </w:tc>
        <w:tc>
          <w:tcPr>
            <w:tcW w:w="2466" w:type="dxa"/>
            <w:shd w:val="clear" w:color="auto" w:fill="F4F6F8"/>
            <w:tcMar>
              <w:top w:w="90" w:type="dxa"/>
              <w:left w:w="110" w:type="dxa"/>
              <w:bottom w:w="90" w:type="dxa"/>
              <w:right w:w="110" w:type="dxa"/>
            </w:tcMar>
            <w:vAlign w:val="center"/>
          </w:tcPr>
          <w:p w14:paraId="0A776F6D" w14:textId="77777777" w:rsidR="00A65B91" w:rsidRDefault="00C70B9D">
            <w:pPr>
              <w:spacing w:before="40" w:after="40" w:line="252" w:lineRule="auto"/>
            </w:pPr>
            <w:r>
              <w:rPr>
                <w:sz w:val="18"/>
              </w:rPr>
              <w:t>Slow responses and weak cleaning can destroy review quality quickly.</w:t>
            </w:r>
          </w:p>
        </w:tc>
        <w:tc>
          <w:tcPr>
            <w:tcW w:w="2466" w:type="dxa"/>
            <w:shd w:val="clear" w:color="auto" w:fill="F4F6F8"/>
            <w:tcMar>
              <w:top w:w="90" w:type="dxa"/>
              <w:left w:w="110" w:type="dxa"/>
              <w:bottom w:w="90" w:type="dxa"/>
              <w:right w:w="110" w:type="dxa"/>
            </w:tcMar>
            <w:vAlign w:val="center"/>
          </w:tcPr>
          <w:p w14:paraId="22FA5854" w14:textId="77777777" w:rsidR="00A65B91" w:rsidRDefault="00C70B9D">
            <w:pPr>
              <w:spacing w:before="40" w:after="40" w:line="252" w:lineRule="auto"/>
            </w:pPr>
            <w:r>
              <w:rPr>
                <w:sz w:val="18"/>
              </w:rPr>
              <w:t>Medium</w:t>
            </w:r>
          </w:p>
        </w:tc>
        <w:tc>
          <w:tcPr>
            <w:tcW w:w="2466" w:type="dxa"/>
            <w:shd w:val="clear" w:color="auto" w:fill="F4F6F8"/>
            <w:tcMar>
              <w:top w:w="90" w:type="dxa"/>
              <w:left w:w="110" w:type="dxa"/>
              <w:bottom w:w="90" w:type="dxa"/>
              <w:right w:w="110" w:type="dxa"/>
            </w:tcMar>
            <w:vAlign w:val="center"/>
          </w:tcPr>
          <w:p w14:paraId="791B5D0A" w14:textId="77777777" w:rsidR="00A65B91" w:rsidRDefault="00C70B9D">
            <w:pPr>
              <w:spacing w:before="40" w:after="40" w:line="252" w:lineRule="auto"/>
            </w:pPr>
            <w:r>
              <w:rPr>
                <w:sz w:val="18"/>
              </w:rPr>
              <w:t>Design for Superhost-like performance from the start.</w:t>
            </w:r>
          </w:p>
        </w:tc>
      </w:tr>
      <w:tr w:rsidR="00A65B91" w14:paraId="6CF7890C" w14:textId="77777777">
        <w:trPr>
          <w:jc w:val="center"/>
        </w:trPr>
        <w:tc>
          <w:tcPr>
            <w:tcW w:w="2466" w:type="dxa"/>
            <w:tcMar>
              <w:top w:w="90" w:type="dxa"/>
              <w:left w:w="110" w:type="dxa"/>
              <w:bottom w:w="90" w:type="dxa"/>
              <w:right w:w="110" w:type="dxa"/>
            </w:tcMar>
            <w:vAlign w:val="center"/>
          </w:tcPr>
          <w:p w14:paraId="3FC135E8" w14:textId="77777777" w:rsidR="00A65B91" w:rsidRDefault="00C70B9D">
            <w:pPr>
              <w:spacing w:before="40" w:after="40" w:line="252" w:lineRule="auto"/>
            </w:pPr>
            <w:r>
              <w:rPr>
                <w:sz w:val="18"/>
              </w:rPr>
              <w:t>Seasonality / demand mix</w:t>
            </w:r>
          </w:p>
        </w:tc>
        <w:tc>
          <w:tcPr>
            <w:tcW w:w="2466" w:type="dxa"/>
            <w:tcMar>
              <w:top w:w="90" w:type="dxa"/>
              <w:left w:w="110" w:type="dxa"/>
              <w:bottom w:w="90" w:type="dxa"/>
              <w:right w:w="110" w:type="dxa"/>
            </w:tcMar>
            <w:vAlign w:val="center"/>
          </w:tcPr>
          <w:p w14:paraId="723DEEA1" w14:textId="77777777" w:rsidR="00A65B91" w:rsidRDefault="00C70B9D">
            <w:pPr>
              <w:spacing w:before="40" w:after="40" w:line="252" w:lineRule="auto"/>
            </w:pPr>
            <w:r>
              <w:rPr>
                <w:sz w:val="18"/>
              </w:rPr>
              <w:t>Leisure-led markets can show sharp revenue troughs.</w:t>
            </w:r>
          </w:p>
        </w:tc>
        <w:tc>
          <w:tcPr>
            <w:tcW w:w="2466" w:type="dxa"/>
            <w:tcMar>
              <w:top w:w="90" w:type="dxa"/>
              <w:left w:w="110" w:type="dxa"/>
              <w:bottom w:w="90" w:type="dxa"/>
              <w:right w:w="110" w:type="dxa"/>
            </w:tcMar>
            <w:vAlign w:val="center"/>
          </w:tcPr>
          <w:p w14:paraId="4CF87F2A" w14:textId="77777777" w:rsidR="00A65B91" w:rsidRDefault="00C70B9D">
            <w:pPr>
              <w:spacing w:before="40" w:after="40" w:line="252" w:lineRule="auto"/>
            </w:pPr>
            <w:r>
              <w:rPr>
                <w:sz w:val="18"/>
              </w:rPr>
              <w:t>Medium</w:t>
            </w:r>
          </w:p>
        </w:tc>
        <w:tc>
          <w:tcPr>
            <w:tcW w:w="2466" w:type="dxa"/>
            <w:tcMar>
              <w:top w:w="90" w:type="dxa"/>
              <w:left w:w="110" w:type="dxa"/>
              <w:bottom w:w="90" w:type="dxa"/>
              <w:right w:w="110" w:type="dxa"/>
            </w:tcMar>
            <w:vAlign w:val="center"/>
          </w:tcPr>
          <w:p w14:paraId="74333EA7" w14:textId="77777777" w:rsidR="00A65B91" w:rsidRDefault="00C70B9D">
            <w:pPr>
              <w:spacing w:before="40" w:after="40" w:line="252" w:lineRule="auto"/>
            </w:pPr>
            <w:r>
              <w:rPr>
                <w:sz w:val="18"/>
              </w:rPr>
              <w:t>Favor Dhaka first; use business, medical, and medium-stay positioning.</w:t>
            </w:r>
          </w:p>
        </w:tc>
      </w:tr>
    </w:tbl>
    <w:p w14:paraId="6F517F47" w14:textId="77777777" w:rsidR="00A65B91" w:rsidRDefault="00C70B9D">
      <w:pPr>
        <w:pStyle w:val="Heading1"/>
        <w:spacing w:before="240" w:after="120"/>
      </w:pPr>
      <w:r>
        <w:rPr>
          <w:color w:val="223A5E"/>
          <w:sz w:val="30"/>
        </w:rPr>
        <w:lastRenderedPageBreak/>
        <w:t>11. Recommended Action Plan</w:t>
      </w:r>
    </w:p>
    <w:p w14:paraId="248CB29E" w14:textId="77777777" w:rsidR="00A65B91" w:rsidRDefault="00C70B9D">
      <w:pPr>
        <w:pStyle w:val="Heading2"/>
        <w:spacing w:before="160" w:after="80"/>
      </w:pPr>
      <w:r>
        <w:rPr>
          <w:color w:val="345681"/>
          <w:sz w:val="24"/>
        </w:rPr>
        <w:t>11.1 Immediate decision path</w:t>
      </w:r>
    </w:p>
    <w:p w14:paraId="44AD198F" w14:textId="77777777" w:rsidR="00A65B91" w:rsidRDefault="00C70B9D">
      <w:pPr>
        <w:pStyle w:val="ListNumber"/>
        <w:spacing w:after="60" w:line="264" w:lineRule="auto"/>
      </w:pPr>
      <w:r>
        <w:t>Shortlist Dhaka neighborhoods by target segment: Gulshan/Banani for business and expat demand, Dhanmondi for medical/academic demand, Uttara for airport-linked and medium-stay demand.</w:t>
      </w:r>
    </w:p>
    <w:p w14:paraId="3FBA6BB3" w14:textId="77777777" w:rsidR="00A65B91" w:rsidRDefault="00C70B9D">
      <w:pPr>
        <w:pStyle w:val="ListNumber"/>
        <w:spacing w:after="60" w:line="264" w:lineRule="auto"/>
      </w:pPr>
      <w:r>
        <w:t>Create a comparable-set worksheet using at least 10-15 benchmark listings in the chosen micro-area: nightly rate, review count, minimum stay, amenities, superhost status, and response quality.</w:t>
      </w:r>
    </w:p>
    <w:p w14:paraId="6DC28951" w14:textId="77777777" w:rsidR="00A65B91" w:rsidRDefault="00C70B9D">
      <w:pPr>
        <w:pStyle w:val="ListNumber"/>
        <w:spacing w:after="60" w:line="264" w:lineRule="auto"/>
      </w:pPr>
      <w:r>
        <w:t>Build a three-case underwriting model using rent/purchase cost, furnishing cost, utilities, cleaning, platform fee assumptions, and conservative occupancy bands.</w:t>
      </w:r>
    </w:p>
    <w:p w14:paraId="5B1AD9B7" w14:textId="77777777" w:rsidR="00A65B91" w:rsidRDefault="00C70B9D">
      <w:pPr>
        <w:pStyle w:val="ListNumber"/>
        <w:spacing w:after="60" w:line="264" w:lineRule="auto"/>
      </w:pPr>
      <w:r>
        <w:t>Confirm legal/operational feasibility at the building level before capital commitment: guest access, security, self-check-in feasibility, and landlord/building permissions.</w:t>
      </w:r>
    </w:p>
    <w:p w14:paraId="301F33E6" w14:textId="77777777" w:rsidR="00A65B91" w:rsidRDefault="00C70B9D">
      <w:pPr>
        <w:pStyle w:val="ListNumber"/>
        <w:spacing w:after="60" w:line="264" w:lineRule="auto"/>
      </w:pPr>
      <w:r>
        <w:t>Launch with professional photos, complete amenity coverage, responsive communication, and a review-acquisition pricing plan.</w:t>
      </w:r>
    </w:p>
    <w:p w14:paraId="3816C00B" w14:textId="77777777" w:rsidR="00A65B91" w:rsidRDefault="00C70B9D">
      <w:pPr>
        <w:pStyle w:val="Heading2"/>
        <w:spacing w:before="160" w:after="80"/>
      </w:pPr>
      <w:r>
        <w:rPr>
          <w:color w:val="345681"/>
          <w:sz w:val="24"/>
        </w:rPr>
        <w:t>11.2 If the client wants a second market after Dhaka</w:t>
      </w:r>
    </w:p>
    <w:p w14:paraId="5BD23665" w14:textId="77777777" w:rsidR="00A65B91" w:rsidRDefault="00C70B9D">
      <w:pPr>
        <w:spacing w:after="120"/>
      </w:pPr>
      <w:r>
        <w:t>Chattogram is the strongest next step. It benefits from real business demand, has thinner competition than Dhaka, and offers a higher average nightly rate in the dashboard. However, the client should enter only after proving the operating model in Dhaka or after securing a locally advantaged property in a strong Chattogram micro-location.</w:t>
      </w:r>
    </w:p>
    <w:p w14:paraId="2A7D96B6" w14:textId="77777777" w:rsidR="00A65B91" w:rsidRDefault="00C70B9D">
      <w:pPr>
        <w:pStyle w:val="Heading1"/>
        <w:spacing w:before="240" w:after="120"/>
      </w:pPr>
      <w:r>
        <w:rPr>
          <w:color w:val="223A5E"/>
          <w:sz w:val="30"/>
        </w:rPr>
        <w:t>12. Final Advisory View</w:t>
      </w:r>
    </w:p>
    <w:p w14:paraId="2F0B8BAD" w14:textId="77777777" w:rsidR="00A65B91" w:rsidRDefault="00C70B9D">
      <w:pPr>
        <w:spacing w:after="120"/>
      </w:pPr>
      <w:r>
        <w:t>Taken together, the dashboard and the secondary note point in the same direction: Bangladesh is not yet a uniform Airbnb market. It is a market with one clearly investable center (Dhaka), one credible secondary business market (Chattogram), several small or niche opportunities that require careful framing (Sylhet, Rajshahi, possibly Khulna), and several locations that remain too thin for a confident first-entry move (Barisal, Rangpur, Mymensingh).</w:t>
      </w:r>
    </w:p>
    <w:p w14:paraId="68FA313B" w14:textId="77777777" w:rsidR="00A65B91" w:rsidRDefault="00C70B9D">
      <w:pPr>
        <w:spacing w:after="120"/>
      </w:pPr>
      <w:r>
        <w:t>For this client, the most defensible recommendation is to enter Dhaka first with a professionally managed, mid-range, furnished unit designed for business, expat, medical, and medium-stay demand. The dashboard supports that recommendation quantitatively, and the secondary research strengthens it by explaining why Dhaka is more resilient, more benchmarkable, and more operationally scalable than the alternatives. The next most credible path is Chattogram. All other markets require either lower-cost experimentation or deeper local demand validation before capital is deployed.</w:t>
      </w:r>
    </w:p>
    <w:tbl>
      <w:tblPr>
        <w:tblW w:w="0" w:type="auto"/>
        <w:jc w:val="center"/>
        <w:tblLook w:val="04A0" w:firstRow="1" w:lastRow="0" w:firstColumn="1" w:lastColumn="0" w:noHBand="0" w:noVBand="1"/>
      </w:tblPr>
      <w:tblGrid>
        <w:gridCol w:w="9866"/>
      </w:tblGrid>
      <w:tr w:rsidR="00A65B91" w14:paraId="5D0147E9" w14:textId="77777777">
        <w:trPr>
          <w:jc w:val="center"/>
        </w:trPr>
        <w:tc>
          <w:tcPr>
            <w:tcW w:w="9866" w:type="dxa"/>
            <w:shd w:val="clear" w:color="auto" w:fill="EEF3F8"/>
            <w:tcMar>
              <w:top w:w="120" w:type="dxa"/>
              <w:left w:w="160" w:type="dxa"/>
              <w:bottom w:w="120" w:type="dxa"/>
              <w:right w:w="160" w:type="dxa"/>
            </w:tcMar>
          </w:tcPr>
          <w:p w14:paraId="613F85EA" w14:textId="77777777" w:rsidR="00A65B91" w:rsidRDefault="00C70B9D">
            <w:pPr>
              <w:spacing w:after="80"/>
            </w:pPr>
            <w:r>
              <w:rPr>
                <w:b/>
                <w:color w:val="223A5E"/>
                <w:sz w:val="21"/>
              </w:rPr>
              <w:t>Bottom line</w:t>
            </w:r>
            <w:r>
              <w:rPr>
                <w:b/>
                <w:color w:val="223A5E"/>
                <w:sz w:val="21"/>
              </w:rPr>
              <w:br/>
            </w:r>
            <w:r>
              <w:rPr>
                <w:sz w:val="19"/>
              </w:rPr>
              <w:t>Use Dhaka as the first market, Chattogram as the second-market option, and treat the rest as niche or watchlist opportunities until occupancy, cost, and property-level economics are validated in more detail.</w:t>
            </w:r>
          </w:p>
        </w:tc>
      </w:tr>
    </w:tbl>
    <w:p w14:paraId="153090AF" w14:textId="77777777" w:rsidR="00A65B91" w:rsidRDefault="00A65B91"/>
    <w:p w14:paraId="032B57A7" w14:textId="77777777" w:rsidR="00A65B91" w:rsidRDefault="00C70B9D">
      <w:pPr>
        <w:pStyle w:val="Heading1"/>
        <w:spacing w:before="240" w:after="120"/>
      </w:pPr>
      <w:r>
        <w:rPr>
          <w:color w:val="223A5E"/>
          <w:sz w:val="30"/>
        </w:rPr>
        <w:t>Appendix A. Selected Secondary Benchmarks Integrated Into This Report</w:t>
      </w:r>
    </w:p>
    <w:tbl>
      <w:tblPr>
        <w:tblStyle w:val="TableGrid"/>
        <w:tblW w:w="0" w:type="auto"/>
        <w:jc w:val="center"/>
        <w:tblLook w:val="04A0" w:firstRow="1" w:lastRow="0" w:firstColumn="1" w:lastColumn="0" w:noHBand="0" w:noVBand="1"/>
      </w:tblPr>
      <w:tblGrid>
        <w:gridCol w:w="3289"/>
        <w:gridCol w:w="3289"/>
        <w:gridCol w:w="3289"/>
      </w:tblGrid>
      <w:tr w:rsidR="00A65B91" w14:paraId="30CE81C1" w14:textId="77777777">
        <w:trPr>
          <w:jc w:val="center"/>
        </w:trPr>
        <w:tc>
          <w:tcPr>
            <w:tcW w:w="3289" w:type="dxa"/>
            <w:shd w:val="clear" w:color="auto" w:fill="223A5E"/>
            <w:tcMar>
              <w:top w:w="90" w:type="dxa"/>
              <w:left w:w="110" w:type="dxa"/>
              <w:bottom w:w="90" w:type="dxa"/>
              <w:right w:w="110" w:type="dxa"/>
            </w:tcMar>
            <w:vAlign w:val="center"/>
          </w:tcPr>
          <w:p w14:paraId="30CE5F7C" w14:textId="77777777" w:rsidR="00A65B91" w:rsidRDefault="00C70B9D">
            <w:pPr>
              <w:spacing w:before="40" w:after="40" w:line="252" w:lineRule="auto"/>
              <w:jc w:val="center"/>
            </w:pPr>
            <w:r>
              <w:rPr>
                <w:b/>
                <w:color w:val="FFFFFF"/>
                <w:sz w:val="19"/>
              </w:rPr>
              <w:t>Topic</w:t>
            </w:r>
          </w:p>
        </w:tc>
        <w:tc>
          <w:tcPr>
            <w:tcW w:w="3289" w:type="dxa"/>
            <w:shd w:val="clear" w:color="auto" w:fill="223A5E"/>
            <w:tcMar>
              <w:top w:w="90" w:type="dxa"/>
              <w:left w:w="110" w:type="dxa"/>
              <w:bottom w:w="90" w:type="dxa"/>
              <w:right w:w="110" w:type="dxa"/>
            </w:tcMar>
            <w:vAlign w:val="center"/>
          </w:tcPr>
          <w:p w14:paraId="7831EC44" w14:textId="77777777" w:rsidR="00A65B91" w:rsidRDefault="00C70B9D">
            <w:pPr>
              <w:spacing w:before="40" w:after="40" w:line="252" w:lineRule="auto"/>
              <w:jc w:val="center"/>
            </w:pPr>
            <w:r>
              <w:rPr>
                <w:b/>
                <w:color w:val="FFFFFF"/>
                <w:sz w:val="19"/>
              </w:rPr>
              <w:t>Benchmark from independent secondary research</w:t>
            </w:r>
          </w:p>
        </w:tc>
        <w:tc>
          <w:tcPr>
            <w:tcW w:w="3289" w:type="dxa"/>
            <w:shd w:val="clear" w:color="auto" w:fill="223A5E"/>
            <w:tcMar>
              <w:top w:w="90" w:type="dxa"/>
              <w:left w:w="110" w:type="dxa"/>
              <w:bottom w:w="90" w:type="dxa"/>
              <w:right w:w="110" w:type="dxa"/>
            </w:tcMar>
            <w:vAlign w:val="center"/>
          </w:tcPr>
          <w:p w14:paraId="2E41E3D7" w14:textId="77777777" w:rsidR="00A65B91" w:rsidRDefault="00C70B9D">
            <w:pPr>
              <w:spacing w:before="40" w:after="40" w:line="252" w:lineRule="auto"/>
              <w:jc w:val="center"/>
            </w:pPr>
            <w:r>
              <w:rPr>
                <w:b/>
                <w:color w:val="FFFFFF"/>
                <w:sz w:val="19"/>
              </w:rPr>
              <w:t>How it strengthens the advisory</w:t>
            </w:r>
          </w:p>
        </w:tc>
      </w:tr>
      <w:tr w:rsidR="00A65B91" w14:paraId="5CFD96B7" w14:textId="77777777">
        <w:trPr>
          <w:jc w:val="center"/>
        </w:trPr>
        <w:tc>
          <w:tcPr>
            <w:tcW w:w="3289" w:type="dxa"/>
            <w:shd w:val="clear" w:color="auto" w:fill="F4F6F8"/>
            <w:tcMar>
              <w:top w:w="90" w:type="dxa"/>
              <w:left w:w="110" w:type="dxa"/>
              <w:bottom w:w="90" w:type="dxa"/>
              <w:right w:w="110" w:type="dxa"/>
            </w:tcMar>
            <w:vAlign w:val="center"/>
          </w:tcPr>
          <w:p w14:paraId="7D5489FF" w14:textId="77777777" w:rsidR="00A65B91" w:rsidRDefault="00C70B9D">
            <w:pPr>
              <w:spacing w:before="40" w:after="40" w:line="252" w:lineRule="auto"/>
            </w:pPr>
            <w:r>
              <w:rPr>
                <w:sz w:val="18"/>
              </w:rPr>
              <w:t>Dhaka platform context</w:t>
            </w:r>
          </w:p>
        </w:tc>
        <w:tc>
          <w:tcPr>
            <w:tcW w:w="3289" w:type="dxa"/>
            <w:shd w:val="clear" w:color="auto" w:fill="F4F6F8"/>
            <w:tcMar>
              <w:top w:w="90" w:type="dxa"/>
              <w:left w:w="110" w:type="dxa"/>
              <w:bottom w:w="90" w:type="dxa"/>
              <w:right w:w="110" w:type="dxa"/>
            </w:tcMar>
            <w:vAlign w:val="center"/>
          </w:tcPr>
          <w:p w14:paraId="2F3F0761" w14:textId="77777777" w:rsidR="00A65B91" w:rsidRDefault="00C70B9D">
            <w:pPr>
              <w:spacing w:before="40" w:after="40" w:line="252" w:lineRule="auto"/>
            </w:pPr>
            <w:r>
              <w:rPr>
                <w:sz w:val="18"/>
              </w:rPr>
              <w:t>~653 active listings; 42% median occupancy; ~BDT 691K annual revenue; +44.8% YoY supply growth.</w:t>
            </w:r>
          </w:p>
        </w:tc>
        <w:tc>
          <w:tcPr>
            <w:tcW w:w="3289" w:type="dxa"/>
            <w:shd w:val="clear" w:color="auto" w:fill="F4F6F8"/>
            <w:tcMar>
              <w:top w:w="90" w:type="dxa"/>
              <w:left w:w="110" w:type="dxa"/>
              <w:bottom w:w="90" w:type="dxa"/>
              <w:right w:w="110" w:type="dxa"/>
            </w:tcMar>
            <w:vAlign w:val="center"/>
          </w:tcPr>
          <w:p w14:paraId="200AE4F0" w14:textId="77777777" w:rsidR="00A65B91" w:rsidRDefault="00C70B9D">
            <w:pPr>
              <w:spacing w:before="40" w:after="40" w:line="252" w:lineRule="auto"/>
            </w:pPr>
            <w:r>
              <w:rPr>
                <w:sz w:val="18"/>
              </w:rPr>
              <w:t>Validates that Dhaka is not only the largest dashboard market but also the most externally benchmarkable STR market in Bangladesh.</w:t>
            </w:r>
          </w:p>
        </w:tc>
      </w:tr>
      <w:tr w:rsidR="00A65B91" w14:paraId="732D2AEF" w14:textId="77777777">
        <w:trPr>
          <w:jc w:val="center"/>
        </w:trPr>
        <w:tc>
          <w:tcPr>
            <w:tcW w:w="3289" w:type="dxa"/>
            <w:tcMar>
              <w:top w:w="90" w:type="dxa"/>
              <w:left w:w="110" w:type="dxa"/>
              <w:bottom w:w="90" w:type="dxa"/>
              <w:right w:w="110" w:type="dxa"/>
            </w:tcMar>
            <w:vAlign w:val="center"/>
          </w:tcPr>
          <w:p w14:paraId="078BC7EB" w14:textId="77777777" w:rsidR="00A65B91" w:rsidRDefault="00C70B9D">
            <w:pPr>
              <w:spacing w:before="40" w:after="40" w:line="252" w:lineRule="auto"/>
            </w:pPr>
            <w:r>
              <w:rPr>
                <w:sz w:val="18"/>
              </w:rPr>
              <w:t>Chattogram platform context</w:t>
            </w:r>
          </w:p>
        </w:tc>
        <w:tc>
          <w:tcPr>
            <w:tcW w:w="3289" w:type="dxa"/>
            <w:tcMar>
              <w:top w:w="90" w:type="dxa"/>
              <w:left w:w="110" w:type="dxa"/>
              <w:bottom w:w="90" w:type="dxa"/>
              <w:right w:w="110" w:type="dxa"/>
            </w:tcMar>
            <w:vAlign w:val="center"/>
          </w:tcPr>
          <w:p w14:paraId="18814942" w14:textId="77777777" w:rsidR="00A65B91" w:rsidRDefault="00C70B9D">
            <w:pPr>
              <w:spacing w:before="40" w:after="40" w:line="252" w:lineRule="auto"/>
            </w:pPr>
            <w:r>
              <w:rPr>
                <w:sz w:val="18"/>
              </w:rPr>
              <w:t>17-24 active listings; +142.9% YoY supply growth; +37.5% revenue growth.</w:t>
            </w:r>
          </w:p>
        </w:tc>
        <w:tc>
          <w:tcPr>
            <w:tcW w:w="3289" w:type="dxa"/>
            <w:tcMar>
              <w:top w:w="90" w:type="dxa"/>
              <w:left w:w="110" w:type="dxa"/>
              <w:bottom w:w="90" w:type="dxa"/>
              <w:right w:w="110" w:type="dxa"/>
            </w:tcMar>
            <w:vAlign w:val="center"/>
          </w:tcPr>
          <w:p w14:paraId="32E41602" w14:textId="77777777" w:rsidR="00A65B91" w:rsidRDefault="00C70B9D">
            <w:pPr>
              <w:spacing w:before="40" w:after="40" w:line="252" w:lineRule="auto"/>
            </w:pPr>
            <w:r>
              <w:rPr>
                <w:sz w:val="18"/>
              </w:rPr>
              <w:t>Supports Chattogram as an early but real second market with room for share capture.</w:t>
            </w:r>
          </w:p>
        </w:tc>
      </w:tr>
      <w:tr w:rsidR="00A65B91" w14:paraId="66336C54" w14:textId="77777777">
        <w:trPr>
          <w:jc w:val="center"/>
        </w:trPr>
        <w:tc>
          <w:tcPr>
            <w:tcW w:w="3289" w:type="dxa"/>
            <w:shd w:val="clear" w:color="auto" w:fill="F4F6F8"/>
            <w:tcMar>
              <w:top w:w="90" w:type="dxa"/>
              <w:left w:w="110" w:type="dxa"/>
              <w:bottom w:w="90" w:type="dxa"/>
              <w:right w:w="110" w:type="dxa"/>
            </w:tcMar>
            <w:vAlign w:val="center"/>
          </w:tcPr>
          <w:p w14:paraId="26D4F55B" w14:textId="77777777" w:rsidR="00A65B91" w:rsidRDefault="00C70B9D">
            <w:pPr>
              <w:spacing w:before="40" w:after="40" w:line="252" w:lineRule="auto"/>
            </w:pPr>
            <w:r>
              <w:rPr>
                <w:sz w:val="18"/>
              </w:rPr>
              <w:t>Seasonality</w:t>
            </w:r>
          </w:p>
        </w:tc>
        <w:tc>
          <w:tcPr>
            <w:tcW w:w="3289" w:type="dxa"/>
            <w:shd w:val="clear" w:color="auto" w:fill="F4F6F8"/>
            <w:tcMar>
              <w:top w:w="90" w:type="dxa"/>
              <w:left w:w="110" w:type="dxa"/>
              <w:bottom w:w="90" w:type="dxa"/>
              <w:right w:w="110" w:type="dxa"/>
            </w:tcMar>
            <w:vAlign w:val="center"/>
          </w:tcPr>
          <w:p w14:paraId="52D57881" w14:textId="77777777" w:rsidR="00A65B91" w:rsidRDefault="00C70B9D">
            <w:pPr>
              <w:spacing w:before="40" w:after="40" w:line="252" w:lineRule="auto"/>
            </w:pPr>
            <w:r>
              <w:rPr>
                <w:sz w:val="18"/>
              </w:rPr>
              <w:t>&gt;80% of domestic tourists travel Nov-Mar; Dhaka and Chattogram are more stable due to business travel.</w:t>
            </w:r>
          </w:p>
        </w:tc>
        <w:tc>
          <w:tcPr>
            <w:tcW w:w="3289" w:type="dxa"/>
            <w:shd w:val="clear" w:color="auto" w:fill="F4F6F8"/>
            <w:tcMar>
              <w:top w:w="90" w:type="dxa"/>
              <w:left w:w="110" w:type="dxa"/>
              <w:bottom w:w="90" w:type="dxa"/>
              <w:right w:w="110" w:type="dxa"/>
            </w:tcMar>
            <w:vAlign w:val="center"/>
          </w:tcPr>
          <w:p w14:paraId="627CBB89" w14:textId="77777777" w:rsidR="00A65B91" w:rsidRDefault="00C70B9D">
            <w:pPr>
              <w:spacing w:before="40" w:after="40" w:line="252" w:lineRule="auto"/>
            </w:pPr>
            <w:r>
              <w:rPr>
                <w:sz w:val="18"/>
              </w:rPr>
              <w:t>Explains why business-oriented markets are preferable for first entry.</w:t>
            </w:r>
          </w:p>
        </w:tc>
      </w:tr>
      <w:tr w:rsidR="00A65B91" w14:paraId="4B9F2896" w14:textId="77777777">
        <w:trPr>
          <w:jc w:val="center"/>
        </w:trPr>
        <w:tc>
          <w:tcPr>
            <w:tcW w:w="3289" w:type="dxa"/>
            <w:tcMar>
              <w:top w:w="90" w:type="dxa"/>
              <w:left w:w="110" w:type="dxa"/>
              <w:bottom w:w="90" w:type="dxa"/>
              <w:right w:w="110" w:type="dxa"/>
            </w:tcMar>
            <w:vAlign w:val="center"/>
          </w:tcPr>
          <w:p w14:paraId="5DCFD27E" w14:textId="77777777" w:rsidR="00A65B91" w:rsidRDefault="00C70B9D">
            <w:pPr>
              <w:spacing w:before="40" w:after="40" w:line="252" w:lineRule="auto"/>
            </w:pPr>
            <w:r>
              <w:rPr>
                <w:sz w:val="18"/>
              </w:rPr>
              <w:lastRenderedPageBreak/>
              <w:t>Rent ranges</w:t>
            </w:r>
          </w:p>
        </w:tc>
        <w:tc>
          <w:tcPr>
            <w:tcW w:w="3289" w:type="dxa"/>
            <w:tcMar>
              <w:top w:w="90" w:type="dxa"/>
              <w:left w:w="110" w:type="dxa"/>
              <w:bottom w:w="90" w:type="dxa"/>
              <w:right w:w="110" w:type="dxa"/>
            </w:tcMar>
            <w:vAlign w:val="center"/>
          </w:tcPr>
          <w:p w14:paraId="08CB0EE8" w14:textId="77777777" w:rsidR="00A65B91" w:rsidRDefault="00C70B9D">
            <w:pPr>
              <w:spacing w:before="40" w:after="40" w:line="252" w:lineRule="auto"/>
            </w:pPr>
            <w:r>
              <w:rPr>
                <w:sz w:val="18"/>
              </w:rPr>
              <w:t>Dhaka furnished rents vary sharply by neighborhood; Gulshan/Banani are premium, Dhanmondi/Uttara more accessible.</w:t>
            </w:r>
          </w:p>
        </w:tc>
        <w:tc>
          <w:tcPr>
            <w:tcW w:w="3289" w:type="dxa"/>
            <w:tcMar>
              <w:top w:w="90" w:type="dxa"/>
              <w:left w:w="110" w:type="dxa"/>
              <w:bottom w:w="90" w:type="dxa"/>
              <w:right w:w="110" w:type="dxa"/>
            </w:tcMar>
            <w:vAlign w:val="center"/>
          </w:tcPr>
          <w:p w14:paraId="710799AB" w14:textId="77777777" w:rsidR="00A65B91" w:rsidRDefault="00C70B9D">
            <w:pPr>
              <w:spacing w:before="40" w:after="40" w:line="252" w:lineRule="auto"/>
            </w:pPr>
            <w:r>
              <w:rPr>
                <w:sz w:val="18"/>
              </w:rPr>
              <w:t>Improves neighborhood selection and underwriting discipline.</w:t>
            </w:r>
          </w:p>
        </w:tc>
      </w:tr>
      <w:tr w:rsidR="00A65B91" w14:paraId="24208803" w14:textId="77777777">
        <w:trPr>
          <w:jc w:val="center"/>
        </w:trPr>
        <w:tc>
          <w:tcPr>
            <w:tcW w:w="3289" w:type="dxa"/>
            <w:shd w:val="clear" w:color="auto" w:fill="F4F6F8"/>
            <w:tcMar>
              <w:top w:w="90" w:type="dxa"/>
              <w:left w:w="110" w:type="dxa"/>
              <w:bottom w:w="90" w:type="dxa"/>
              <w:right w:w="110" w:type="dxa"/>
            </w:tcMar>
            <w:vAlign w:val="center"/>
          </w:tcPr>
          <w:p w14:paraId="33E4D8E3" w14:textId="77777777" w:rsidR="00A65B91" w:rsidRDefault="00C70B9D">
            <w:pPr>
              <w:spacing w:before="40" w:after="40" w:line="252" w:lineRule="auto"/>
            </w:pPr>
            <w:r>
              <w:rPr>
                <w:sz w:val="18"/>
              </w:rPr>
              <w:t>Furnishing cost</w:t>
            </w:r>
          </w:p>
        </w:tc>
        <w:tc>
          <w:tcPr>
            <w:tcW w:w="3289" w:type="dxa"/>
            <w:shd w:val="clear" w:color="auto" w:fill="F4F6F8"/>
            <w:tcMar>
              <w:top w:w="90" w:type="dxa"/>
              <w:left w:w="110" w:type="dxa"/>
              <w:bottom w:w="90" w:type="dxa"/>
              <w:right w:w="110" w:type="dxa"/>
            </w:tcMar>
            <w:vAlign w:val="center"/>
          </w:tcPr>
          <w:p w14:paraId="6D61407F" w14:textId="77777777" w:rsidR="00A65B91" w:rsidRDefault="00C70B9D">
            <w:pPr>
              <w:spacing w:before="40" w:after="40" w:line="252" w:lineRule="auto"/>
            </w:pPr>
            <w:r>
              <w:rPr>
                <w:sz w:val="18"/>
              </w:rPr>
              <w:t>Approx. BDT 13-19 lac for a 2-bed Airbnb-ready setup.</w:t>
            </w:r>
          </w:p>
        </w:tc>
        <w:tc>
          <w:tcPr>
            <w:tcW w:w="3289" w:type="dxa"/>
            <w:shd w:val="clear" w:color="auto" w:fill="F4F6F8"/>
            <w:tcMar>
              <w:top w:w="90" w:type="dxa"/>
              <w:left w:w="110" w:type="dxa"/>
              <w:bottom w:w="90" w:type="dxa"/>
              <w:right w:w="110" w:type="dxa"/>
            </w:tcMar>
            <w:vAlign w:val="center"/>
          </w:tcPr>
          <w:p w14:paraId="46F445A4" w14:textId="77777777" w:rsidR="00A65B91" w:rsidRDefault="00C70B9D">
            <w:pPr>
              <w:spacing w:before="40" w:after="40" w:line="252" w:lineRule="auto"/>
            </w:pPr>
            <w:r>
              <w:rPr>
                <w:sz w:val="18"/>
              </w:rPr>
              <w:t>Anchors capex planning and prevents under-budgeting.</w:t>
            </w:r>
          </w:p>
        </w:tc>
      </w:tr>
      <w:tr w:rsidR="00A65B91" w14:paraId="0D04404A" w14:textId="77777777">
        <w:trPr>
          <w:jc w:val="center"/>
        </w:trPr>
        <w:tc>
          <w:tcPr>
            <w:tcW w:w="3289" w:type="dxa"/>
            <w:tcMar>
              <w:top w:w="90" w:type="dxa"/>
              <w:left w:w="110" w:type="dxa"/>
              <w:bottom w:w="90" w:type="dxa"/>
              <w:right w:w="110" w:type="dxa"/>
            </w:tcMar>
            <w:vAlign w:val="center"/>
          </w:tcPr>
          <w:p w14:paraId="0F0E8FFE" w14:textId="77777777" w:rsidR="00A65B91" w:rsidRDefault="00C70B9D">
            <w:pPr>
              <w:spacing w:before="40" w:after="40" w:line="252" w:lineRule="auto"/>
            </w:pPr>
            <w:r>
              <w:rPr>
                <w:sz w:val="18"/>
              </w:rPr>
              <w:t>Operating costs</w:t>
            </w:r>
          </w:p>
        </w:tc>
        <w:tc>
          <w:tcPr>
            <w:tcW w:w="3289" w:type="dxa"/>
            <w:tcMar>
              <w:top w:w="90" w:type="dxa"/>
              <w:left w:w="110" w:type="dxa"/>
              <w:bottom w:w="90" w:type="dxa"/>
              <w:right w:w="110" w:type="dxa"/>
            </w:tcMar>
            <w:vAlign w:val="center"/>
          </w:tcPr>
          <w:p w14:paraId="3CB6BFE4" w14:textId="77777777" w:rsidR="00A65B91" w:rsidRDefault="00C70B9D">
            <w:pPr>
              <w:spacing w:before="40" w:after="40" w:line="252" w:lineRule="auto"/>
            </w:pPr>
            <w:r>
              <w:rPr>
                <w:sz w:val="18"/>
              </w:rPr>
              <w:t>Self-managed ~30-45% of gross revenue; managed ~45-65%.</w:t>
            </w:r>
          </w:p>
        </w:tc>
        <w:tc>
          <w:tcPr>
            <w:tcW w:w="3289" w:type="dxa"/>
            <w:tcMar>
              <w:top w:w="90" w:type="dxa"/>
              <w:left w:w="110" w:type="dxa"/>
              <w:bottom w:w="90" w:type="dxa"/>
              <w:right w:w="110" w:type="dxa"/>
            </w:tcMar>
            <w:vAlign w:val="center"/>
          </w:tcPr>
          <w:p w14:paraId="49EC65A5" w14:textId="77777777" w:rsidR="00A65B91" w:rsidRDefault="00C70B9D">
            <w:pPr>
              <w:spacing w:before="40" w:after="40" w:line="252" w:lineRule="auto"/>
            </w:pPr>
            <w:r>
              <w:rPr>
                <w:sz w:val="18"/>
              </w:rPr>
              <w:t>Shows why operating model choice has major profit consequences.</w:t>
            </w:r>
          </w:p>
        </w:tc>
      </w:tr>
      <w:tr w:rsidR="00A65B91" w14:paraId="27CD53B6" w14:textId="77777777">
        <w:trPr>
          <w:jc w:val="center"/>
        </w:trPr>
        <w:tc>
          <w:tcPr>
            <w:tcW w:w="3289" w:type="dxa"/>
            <w:shd w:val="clear" w:color="auto" w:fill="F4F6F8"/>
            <w:tcMar>
              <w:top w:w="90" w:type="dxa"/>
              <w:left w:w="110" w:type="dxa"/>
              <w:bottom w:w="90" w:type="dxa"/>
              <w:right w:w="110" w:type="dxa"/>
            </w:tcMar>
            <w:vAlign w:val="center"/>
          </w:tcPr>
          <w:p w14:paraId="77230616" w14:textId="77777777" w:rsidR="00A65B91" w:rsidRDefault="00C70B9D">
            <w:pPr>
              <w:spacing w:before="40" w:after="40" w:line="252" w:lineRule="auto"/>
            </w:pPr>
            <w:r>
              <w:rPr>
                <w:sz w:val="18"/>
              </w:rPr>
              <w:t>Legal/tax</w:t>
            </w:r>
          </w:p>
        </w:tc>
        <w:tc>
          <w:tcPr>
            <w:tcW w:w="3289" w:type="dxa"/>
            <w:shd w:val="clear" w:color="auto" w:fill="F4F6F8"/>
            <w:tcMar>
              <w:top w:w="90" w:type="dxa"/>
              <w:left w:w="110" w:type="dxa"/>
              <w:bottom w:w="90" w:type="dxa"/>
              <w:right w:w="110" w:type="dxa"/>
            </w:tcMar>
            <w:vAlign w:val="center"/>
          </w:tcPr>
          <w:p w14:paraId="15AD6478" w14:textId="77777777" w:rsidR="00A65B91" w:rsidRDefault="00C70B9D">
            <w:pPr>
              <w:spacing w:before="40" w:after="40" w:line="252" w:lineRule="auto"/>
            </w:pPr>
            <w:r>
              <w:rPr>
                <w:sz w:val="18"/>
              </w:rPr>
              <w:t>No dedicated STR law, but lease, subletting, building, and tax rules still apply.</w:t>
            </w:r>
          </w:p>
        </w:tc>
        <w:tc>
          <w:tcPr>
            <w:tcW w:w="3289" w:type="dxa"/>
            <w:shd w:val="clear" w:color="auto" w:fill="F4F6F8"/>
            <w:tcMar>
              <w:top w:w="90" w:type="dxa"/>
              <w:left w:w="110" w:type="dxa"/>
              <w:bottom w:w="90" w:type="dxa"/>
              <w:right w:w="110" w:type="dxa"/>
            </w:tcMar>
            <w:vAlign w:val="center"/>
          </w:tcPr>
          <w:p w14:paraId="37F4076B" w14:textId="77777777" w:rsidR="00A65B91" w:rsidRDefault="00C70B9D">
            <w:pPr>
              <w:spacing w:before="40" w:after="40" w:line="252" w:lineRule="auto"/>
            </w:pPr>
            <w:r>
              <w:rPr>
                <w:sz w:val="18"/>
              </w:rPr>
              <w:t>Prevents regulatory blind spots and reduces avoidable legal risk.</w:t>
            </w:r>
          </w:p>
        </w:tc>
      </w:tr>
    </w:tbl>
    <w:p w14:paraId="0B113DAB" w14:textId="77777777" w:rsidR="00A65B91" w:rsidRDefault="00C70B9D">
      <w:pPr>
        <w:pStyle w:val="Heading2"/>
        <w:spacing w:before="160" w:after="80"/>
      </w:pPr>
      <w:r>
        <w:rPr>
          <w:color w:val="345681"/>
          <w:sz w:val="24"/>
        </w:rPr>
        <w:t>Appendix B. Notes on Evidence Quality</w:t>
      </w:r>
    </w:p>
    <w:p w14:paraId="2F7786B7" w14:textId="77777777" w:rsidR="00A65B91" w:rsidRDefault="00C70B9D">
      <w:pPr>
        <w:pStyle w:val="ListBullet"/>
        <w:spacing w:after="60" w:line="264" w:lineRule="auto"/>
      </w:pPr>
      <w:r>
        <w:t>Dashboard metrics are the primary source for relative division ranking in this report.</w:t>
      </w:r>
    </w:p>
    <w:p w14:paraId="1777D9CC" w14:textId="77777777" w:rsidR="00A65B91" w:rsidRDefault="00C70B9D">
      <w:pPr>
        <w:pStyle w:val="ListBullet"/>
        <w:spacing w:after="60" w:line="264" w:lineRule="auto"/>
      </w:pPr>
      <w:r>
        <w:t>External market benchmarks were compiled through independent secondary research across publicly available sources and were not re-fetched live at time of report production.</w:t>
      </w:r>
    </w:p>
    <w:p w14:paraId="6BEB2D3D" w14:textId="77777777" w:rsidR="00A65B91" w:rsidRDefault="00C70B9D">
      <w:pPr>
        <w:pStyle w:val="ListBullet"/>
        <w:spacing w:after="60" w:line="264" w:lineRule="auto"/>
      </w:pPr>
      <w:r>
        <w:t>Thin divisions should not be interpreted with the same confidence as Dhaka or Chattogram, regardless of apparent nightly rates or ratings.</w:t>
      </w:r>
    </w:p>
    <w:sectPr w:rsidR="00A65B91" w:rsidSect="00034616">
      <w:headerReference w:type="default" r:id="rId8"/>
      <w:footerReference w:type="default" r:id="rId9"/>
      <w:pgSz w:w="11906" w:h="16838"/>
      <w:pgMar w:top="964"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D23B4E" w14:textId="77777777" w:rsidR="00D61410" w:rsidRDefault="00D61410">
      <w:pPr>
        <w:spacing w:after="0" w:line="240" w:lineRule="auto"/>
      </w:pPr>
      <w:r>
        <w:separator/>
      </w:r>
    </w:p>
  </w:endnote>
  <w:endnote w:type="continuationSeparator" w:id="0">
    <w:p w14:paraId="3280805D" w14:textId="77777777" w:rsidR="00D61410" w:rsidRDefault="00D61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F9182" w14:textId="6BBD13A8" w:rsidR="00A65B91" w:rsidRDefault="00A65B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B84336" w14:textId="77777777" w:rsidR="00D61410" w:rsidRDefault="00D61410">
      <w:pPr>
        <w:spacing w:after="0" w:line="240" w:lineRule="auto"/>
      </w:pPr>
      <w:r>
        <w:separator/>
      </w:r>
    </w:p>
  </w:footnote>
  <w:footnote w:type="continuationSeparator" w:id="0">
    <w:p w14:paraId="65276534" w14:textId="77777777" w:rsidR="00D61410" w:rsidRDefault="00D614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EEF38" w14:textId="295C1286" w:rsidR="00A65B91" w:rsidRDefault="00B4438E">
    <w:pPr>
      <w:pStyle w:val="Header"/>
      <w:jc w:val="right"/>
    </w:pPr>
    <w:r>
      <w:rPr>
        <w:color w:val="646464"/>
        <w:sz w:val="16"/>
      </w:rPr>
      <w:t>Market Research</w:t>
    </w:r>
    <w:r w:rsidR="00C70B9D">
      <w:rPr>
        <w:color w:val="646464"/>
        <w:sz w:val="16"/>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08B"/>
    <w:rsid w:val="0029639D"/>
    <w:rsid w:val="00326F90"/>
    <w:rsid w:val="00597A11"/>
    <w:rsid w:val="006408FB"/>
    <w:rsid w:val="00A65B91"/>
    <w:rsid w:val="00AA1D8D"/>
    <w:rsid w:val="00B4438E"/>
    <w:rsid w:val="00B47730"/>
    <w:rsid w:val="00C70B9D"/>
    <w:rsid w:val="00CB0664"/>
    <w:rsid w:val="00D53998"/>
    <w:rsid w:val="00D61410"/>
    <w:rsid w:val="00F743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0C198"/>
  <w14:defaultImageDpi w14:val="300"/>
  <w15:docId w15:val="{65A950D0-3101-4977-BABB-C6782D6FD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3713</Words>
  <Characters>21169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Yeasir Zawad</cp:lastModifiedBy>
  <cp:revision>7</cp:revision>
  <dcterms:created xsi:type="dcterms:W3CDTF">2013-12-23T23:15:00Z</dcterms:created>
  <dcterms:modified xsi:type="dcterms:W3CDTF">2026-07-25T08:37:00Z</dcterms:modified>
  <cp:category/>
</cp:coreProperties>
</file>