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3A6B"/>
          <w:sz w:val="44"/>
        </w:rPr>
        <w:t>Note d'expertise — Formation continue certifiante niveau 5</w:t>
      </w:r>
    </w:p>
    <w:p>
      <w:r>
        <w:rPr>
          <w:b/>
          <w:color w:val="C9A94D"/>
          <w:sz w:val="28"/>
        </w:rPr>
        <w:t>Choix des RNCP, financement, trésorerie, réponse DEETS, conformité RGPD et IA Act — octobre 2026</w:t>
      </w:r>
    </w:p>
    <w:p>
      <w:pPr>
        <w:pBdr>
          <w:bottom w:val="single" w:sz="18" w:space="1" w:color="C9A94D"/>
        </w:pBdr>
      </w:pPr>
    </w:p>
    <w:p>
      <w:pPr>
        <w:pStyle w:val="Heading1"/>
      </w:pPr>
      <w:r>
        <w:t>1. Synthèse en 6 décisions</w:t>
      </w:r>
    </w:p>
    <w:p>
      <w:pPr>
        <w:pStyle w:val="ListNumber"/>
      </w:pPr>
      <w:r>
        <w:rPr>
          <w:b/>
        </w:rPr>
        <w:t>Rester organisme de formation continue</w:t>
      </w:r>
      <w:r>
        <w:rPr>
          <w:b w:val="0"/>
        </w:rPr>
        <w:t xml:space="preserve"> : les deux titres se préparent en formation continue et en contrat de professionnalisation sans statut de CFA (fiches RNCP41853 et RNCP38575 : voies d'accès « formation continue » et « contrat de professionnalisation » ouvertes).</w:t>
      </w:r>
    </w:p>
    <w:p>
      <w:pPr>
        <w:pStyle w:val="ListNumber"/>
      </w:pPr>
      <w:r>
        <w:rPr>
          <w:b/>
        </w:rPr>
        <w:t>Répondre à la DEETS avant le délai de 12 jours</w:t>
      </w:r>
      <w:r>
        <w:rPr>
          <w:b w:val="0"/>
        </w:rPr>
        <w:t xml:space="preserve"> par la version A (suspension de la demande d'extension) ; garder le dossier des 18 pièces prêt.</w:t>
      </w:r>
    </w:p>
    <w:p>
      <w:pPr>
        <w:pStyle w:val="ListNumber"/>
      </w:pPr>
      <w:r>
        <w:rPr>
          <w:b/>
        </w:rPr>
        <w:t>Ouvrir d'abord le TP Manager d'établissement marchand (MEM)</w:t>
      </w:r>
      <w:r>
        <w:rPr>
          <w:b w:val="0"/>
        </w:rPr>
        <w:t xml:space="preserve"> pour les publics France Travail et Missions Locales ; </w:t>
      </w:r>
      <w:r>
        <w:rPr>
          <w:b/>
        </w:rPr>
        <w:t>puis le TP Responsable de petite ou moyenne structure (RPMS)</w:t>
      </w:r>
      <w:r>
        <w:rPr>
          <w:b w:val="0"/>
        </w:rPr>
        <w:t xml:space="preserve"> pour les salariés, créateurs et repreneurs (CPF, OPCO).</w:t>
      </w:r>
    </w:p>
    <w:p>
      <w:pPr>
        <w:pStyle w:val="ListNumber"/>
      </w:pPr>
      <w:r>
        <w:rPr>
          <w:b/>
        </w:rPr>
        <w:t>Ajouter le module IA (42 h)</w:t>
      </w:r>
      <w:r>
        <w:rPr>
          <w:b w:val="0"/>
        </w:rPr>
        <w:t xml:space="preserve"> dans chaque parcours : c'est votre avantage concurrentiel, et il répond à l'obligation de maîtrise de l'IA (IA Act, art. 4).</w:t>
      </w:r>
    </w:p>
    <w:p>
      <w:pPr>
        <w:pStyle w:val="ListNumber"/>
      </w:pPr>
      <w:r>
        <w:rPr>
          <w:b/>
        </w:rPr>
        <w:t>Obtenir l'agrément DEETS pour organiser les sessions d'examen</w:t>
      </w:r>
      <w:r>
        <w:rPr>
          <w:b w:val="0"/>
        </w:rPr>
        <w:t>, ou signer un partenariat avec un centre agréé en attendant (prévoir au moins 7 mois avant la première session).</w:t>
      </w:r>
    </w:p>
    <w:p>
      <w:pPr>
        <w:pStyle w:val="ListNumber"/>
      </w:pPr>
      <w:r>
        <w:rPr>
          <w:b/>
        </w:rPr>
        <w:t>Sécuriser la trésorerie</w:t>
      </w:r>
      <w:r>
        <w:rPr>
          <w:b w:val="0"/>
        </w:rPr>
        <w:t xml:space="preserve"> en combinant plusieurs financeurs et des formations courtes en intra-entreprise (IA, RGPD) qui financent le démarrage des parcours longs.</w:t>
      </w:r>
    </w:p>
    <w:p>
      <w:pPr>
        <w:pStyle w:val="Heading1"/>
      </w:pPr>
      <w:r>
        <w:t>2. Raisonnement étape par étape</w:t>
      </w:r>
    </w:p>
    <w:p>
      <w:pPr>
        <w:pStyle w:val="Heading2"/>
      </w:pPr>
      <w:r>
        <w:t>Étape 1 — Contraintes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6520"/>
      </w:tblGrid>
      <w:tr>
        <w:trPr>
          <w:tblHeader w:val="true"/>
        </w:trPr>
        <w:tc>
          <w:tcPr>
            <w:tcW w:type="dxa" w:w="3118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Contrainte</w:t>
            </w:r>
          </w:p>
        </w:tc>
        <w:tc>
          <w:tcPr>
            <w:tcW w:type="dxa" w:w="6520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Conséquence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Formation continue, pas d'apprentissage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2"/>
              </w:rPr>
              <w:t>Pas de NPEC OPCO ; financeurs : CPF, France Travail, Région, OPCO (plan, Pro-A, contrat de professionnalisation), Transitions Pro, particuliers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b w:val="0"/>
                <w:sz w:val="22"/>
              </w:rPr>
              <w:t>Niveau 5 avec responsabilité et IA</w:t>
            </w:r>
          </w:p>
        </w:tc>
        <w:tc>
          <w:tcPr>
            <w:tcW w:type="dxa" w:w="6520"/>
            <w:shd w:val="clear" w:color="auto" w:fill="F2F2F2"/>
          </w:tcPr>
          <w:p>
            <w:r/>
            <w:r>
              <w:rPr>
                <w:b w:val="0"/>
                <w:sz w:val="22"/>
              </w:rPr>
              <w:t>Titres de management de niveau 5 ; l'IA n'apparaît dans aucun des deux référentiels → module complémentaire de l'organisme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Faible taux d'abandon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2"/>
              </w:rPr>
              <w:t>Sélection à l'entrée, rémunération du stagiaire pendant la formation, alternance courte centre / entreprise, suivi social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b w:val="0"/>
                <w:sz w:val="22"/>
              </w:rPr>
              <w:t>Missions Locales et France Travail</w:t>
            </w:r>
          </w:p>
        </w:tc>
        <w:tc>
          <w:tcPr>
            <w:tcW w:type="dxa" w:w="6520"/>
            <w:shd w:val="clear" w:color="auto" w:fill="F2F2F2"/>
          </w:tcPr>
          <w:p>
            <w:r/>
            <w:r>
              <w:rPr>
                <w:b w:val="0"/>
                <w:sz w:val="22"/>
              </w:rPr>
              <w:t>Public demandeur d'emploi, souvent jeune et peu expérimenté → titre accessible sans expérience de direction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Trésorerie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2"/>
              </w:rPr>
              <w:t>Éviter la dépendance à un seul financeur payé à terme échu ; facturer par étapes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b w:val="0"/>
                <w:sz w:val="22"/>
              </w:rPr>
              <w:t>La Réunion</w:t>
            </w:r>
          </w:p>
        </w:tc>
        <w:tc>
          <w:tcPr>
            <w:tcW w:type="dxa" w:w="6520"/>
            <w:shd w:val="clear" w:color="auto" w:fill="F2F2F2"/>
          </w:tcPr>
          <w:p>
            <w:r/>
            <w:r>
              <w:rPr>
                <w:b w:val="0"/>
                <w:sz w:val="22"/>
              </w:rPr>
              <w:t>Marchés publics de la Région, Carif-Oref Réunion, DEETS 974, réalités locales (cyclones, mobilité, insularité)</w:t>
            </w:r>
          </w:p>
        </w:tc>
      </w:tr>
    </w:tbl>
    <w:p/>
    <w:p>
      <w:pPr>
        <w:pStyle w:val="Heading2"/>
      </w:pPr>
      <w:r>
        <w:t>Étape 2 — Comparaison des deux titres que vous avez transmis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685"/>
        <w:gridCol w:w="3685"/>
      </w:tblGrid>
      <w:tr>
        <w:trPr>
          <w:tblHeader w:val="true"/>
        </w:trPr>
        <w:tc>
          <w:tcPr>
            <w:tcW w:type="dxa" w:w="2268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Critère</w:t>
            </w:r>
          </w:p>
        </w:tc>
        <w:tc>
          <w:tcPr>
            <w:tcW w:type="dxa" w:w="3685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MEM — RNCP41853</w:t>
            </w:r>
          </w:p>
        </w:tc>
        <w:tc>
          <w:tcPr>
            <w:tcW w:type="dxa" w:w="3685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RPMS — RNCP38575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2"/>
              </w:rPr>
              <w:t>Version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22"/>
              </w:rPr>
              <w:t>Nouvelle version : parcours à partir du 03/03/2026, jusqu'au 02/03/2031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22"/>
              </w:rPr>
              <w:t>Parcours depuis le 08/02/2024, jusqu'au 08/02/2029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/>
            <w:r>
              <w:rPr>
                <w:b w:val="0"/>
                <w:sz w:val="22"/>
              </w:rPr>
              <w:t>Public type</w:t>
            </w:r>
          </w:p>
        </w:tc>
        <w:tc>
          <w:tcPr>
            <w:tcW w:type="dxa" w:w="3685"/>
            <w:shd w:val="clear" w:color="auto" w:fill="F2F2F2"/>
          </w:tcPr>
          <w:p>
            <w:r/>
            <w:r>
              <w:rPr>
                <w:b w:val="0"/>
                <w:sz w:val="22"/>
              </w:rPr>
              <w:t>Demandeurs d'emploi, jeunes avec expérience commerciale, employés de commerce</w:t>
            </w:r>
          </w:p>
        </w:tc>
        <w:tc>
          <w:tcPr>
            <w:tcW w:type="dxa" w:w="3685"/>
            <w:shd w:val="clear" w:color="auto" w:fill="F2F2F2"/>
          </w:tcPr>
          <w:p>
            <w:r/>
            <w:r>
              <w:rPr>
                <w:b w:val="0"/>
                <w:sz w:val="22"/>
              </w:rPr>
              <w:t>Salariés expérimentés, créateurs et repreneurs, responsables associatifs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2"/>
              </w:rPr>
              <w:t>Adéquation Missions Locales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22"/>
              </w:rPr>
              <w:t>Forte (métier accessible, secteur recruteur)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22"/>
              </w:rPr>
              <w:t>Faible à moyenne (demande de la maturité professionnelle)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/>
            <w:r>
              <w:rPr>
                <w:b w:val="0"/>
                <w:sz w:val="22"/>
              </w:rPr>
              <w:t>Épreuve</w:t>
            </w:r>
          </w:p>
        </w:tc>
        <w:tc>
          <w:tcPr>
            <w:tcW w:type="dxa" w:w="3685"/>
            <w:shd w:val="clear" w:color="auto" w:fill="F2F2F2"/>
          </w:tcPr>
          <w:p>
            <w:r/>
            <w:r>
              <w:rPr>
                <w:b w:val="0"/>
                <w:sz w:val="22"/>
              </w:rPr>
              <w:t>7 h 55 : mise en situation 4 h sur poste informatique + entretiens + 2 productions</w:t>
            </w:r>
          </w:p>
        </w:tc>
        <w:tc>
          <w:tcPr>
            <w:tcW w:type="dxa" w:w="3685"/>
            <w:shd w:val="clear" w:color="auto" w:fill="F2F2F2"/>
          </w:tcPr>
          <w:p>
            <w:r/>
            <w:r>
              <w:rPr>
                <w:b w:val="0"/>
                <w:sz w:val="22"/>
              </w:rPr>
              <w:t>1 h 35 : présentation d'un projet + entretiens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2"/>
              </w:rPr>
              <w:t>Exigence matérielle pour être centre d'examen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22"/>
              </w:rPr>
              <w:t>Élevée (postes, maquettes, surveillant)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22"/>
              </w:rPr>
              <w:t>Faible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/>
            <w:r>
              <w:rPr>
                <w:b w:val="0"/>
                <w:sz w:val="22"/>
              </w:rPr>
              <w:t>Période en entreprise minimale</w:t>
            </w:r>
          </w:p>
        </w:tc>
        <w:tc>
          <w:tcPr>
            <w:tcW w:type="dxa" w:w="3685"/>
            <w:shd w:val="clear" w:color="auto" w:fill="F2F2F2"/>
          </w:tcPr>
          <w:p>
            <w:r/>
            <w:r>
              <w:rPr>
                <w:b w:val="0"/>
                <w:sz w:val="22"/>
              </w:rPr>
              <w:t>280 h (arrêté du 4 décembre 2025, art. 6)</w:t>
            </w:r>
          </w:p>
        </w:tc>
        <w:tc>
          <w:tcPr>
            <w:tcW w:type="dxa" w:w="3685"/>
            <w:shd w:val="clear" w:color="auto" w:fill="F2F2F2"/>
          </w:tcPr>
          <w:p>
            <w:r/>
            <w:r>
              <w:rPr>
                <w:b w:val="0"/>
                <w:sz w:val="22"/>
              </w:rPr>
              <w:t xml:space="preserve">210 h selon plusieurs organismes — </w:t>
            </w:r>
            <w:r>
              <w:rPr>
                <w:b w:val="0"/>
                <w:sz w:val="22"/>
                <w:highlight w:val="yellow"/>
              </w:rPr>
              <w:t>[À VÉRIFIER dans l'arrêté]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2"/>
              </w:rPr>
              <w:t>Insertion nationale (6 mois, global)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22"/>
              </w:rPr>
              <w:t>76 % (2024)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22"/>
              </w:rPr>
              <w:t>69 % (2022)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/>
            <w:r>
              <w:rPr>
                <w:b w:val="0"/>
                <w:sz w:val="22"/>
              </w:rPr>
              <w:t>Lien avec votre expertise</w:t>
            </w:r>
          </w:p>
        </w:tc>
        <w:tc>
          <w:tcPr>
            <w:tcW w:type="dxa" w:w="3685"/>
            <w:shd w:val="clear" w:color="auto" w:fill="F2F2F2"/>
          </w:tcPr>
          <w:p>
            <w:r/>
            <w:r>
              <w:rPr>
                <w:b w:val="0"/>
                <w:sz w:val="22"/>
              </w:rPr>
              <w:t>Vente, management, soft skills</w:t>
            </w:r>
          </w:p>
        </w:tc>
        <w:tc>
          <w:tcPr>
            <w:tcW w:type="dxa" w:w="3685"/>
            <w:shd w:val="clear" w:color="auto" w:fill="F2F2F2"/>
          </w:tcPr>
          <w:p>
            <w:r/>
            <w:r>
              <w:rPr>
                <w:b w:val="0"/>
                <w:sz w:val="22"/>
              </w:rPr>
              <w:t>Management, gouvernance, IA, RGPD : très fort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2"/>
              </w:rPr>
              <w:t>Volume horaire proposé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22"/>
              </w:rPr>
              <w:t>560 h centre + 280 h entreprise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22"/>
              </w:rPr>
              <w:t>595 h centre + 210 h entreprise</w:t>
            </w:r>
          </w:p>
        </w:tc>
      </w:tr>
    </w:tbl>
    <w:p/>
    <w:p>
      <w:pPr>
        <w:pStyle w:val="Heading2"/>
      </w:pPr>
      <w:r>
        <w:t>Étape 3 — Décision</w:t>
      </w:r>
    </w:p>
    <w:p>
      <w:r>
        <w:rPr>
          <w:b w:val="0"/>
        </w:rPr>
        <w:t>Les deux titres sont complémentaires et non concurrents. Le MEM répond à votre objectif « Missions Locales / France Travail / faible abandon » ; le RPMS valorise votre positionnement unique (direction de TPE-PME + IA + gouvernance des données), sur un marché de salariés et de dirigeants plus solvable (CPF, OPCO). Ordre conseillé : MEM en premier (volume), RPMS en second (marge et image).</w:t>
      </w:r>
    </w:p>
    <w:p>
      <w:r>
        <w:rPr>
          <w:b w:val="0"/>
        </w:rPr>
        <w:t xml:space="preserve">Autres titres de niveau 5 qui pourraient compléter l'offre plus tard : je ne les recommande pas sans vérification de leur fiche RNCP active et de la demande locale (France Travail BMO, Carif-Oref Réunion). </w:t>
      </w:r>
      <w:r>
        <w:rPr>
          <w:b w:val="0"/>
          <w:highlight w:val="yellow"/>
        </w:rPr>
        <w:t>[À VÉRIFIER ensemble avant toute décision.]</w:t>
      </w:r>
      <w:r>
        <w:rPr>
          <w:b w:val="0"/>
        </w:rPr>
        <w:t xml:space="preserve"> Pour l'IA, envisagez d'associer au parcours une certification du répertoire spécifique (RS) dédiée aux usages de l'IA, finançable par le CPF, à sélectionner sur francecompetences.fr.</w:t>
      </w:r>
    </w:p>
    <w:p>
      <w:pPr>
        <w:pStyle w:val="Heading1"/>
      </w:pPr>
      <w:r>
        <w:t>3. Financement et trésorerie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154"/>
        <w:gridCol w:w="5103"/>
      </w:tblGrid>
      <w:tr>
        <w:trPr>
          <w:tblHeader w:val="true"/>
        </w:trPr>
        <w:tc>
          <w:tcPr>
            <w:tcW w:type="dxa" w:w="2381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Financeur</w:t>
            </w:r>
          </w:p>
        </w:tc>
        <w:tc>
          <w:tcPr>
            <w:tcW w:type="dxa" w:w="2154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Public</w:t>
            </w:r>
          </w:p>
        </w:tc>
        <w:tc>
          <w:tcPr>
            <w:tcW w:type="dxa" w:w="5102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Points clés de trésorerie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22"/>
              </w:rPr>
              <w:t>CPF (Caisse des Dépôts)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2"/>
              </w:rPr>
              <w:t>Salariés, demandeurs d'emploi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22"/>
              </w:rPr>
              <w:t xml:space="preserve">Paiement après déclaration de service fait ; acomptes ou facturation intermédiaire </w:t>
            </w:r>
            <w:r>
              <w:rPr>
                <w:b w:val="0"/>
                <w:sz w:val="22"/>
                <w:highlight w:val="yellow"/>
              </w:rPr>
              <w:t>[À VÉRIFIER : CGU EDOF en vigueur]</w:t>
            </w:r>
            <w:r>
              <w:rPr>
                <w:b w:val="0"/>
                <w:sz w:val="22"/>
              </w:rPr>
              <w:t>. Le reste à charge forfaitaire ne s'applique pas aux demandeurs d'emploi.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r/>
            <w:r>
              <w:rPr>
                <w:b w:val="0"/>
                <w:sz w:val="22"/>
              </w:rPr>
              <w:t>France Travail (AIF, AFC, POEI)</w:t>
            </w:r>
          </w:p>
        </w:tc>
        <w:tc>
          <w:tcPr>
            <w:tcW w:type="dxa" w:w="2154"/>
            <w:shd w:val="clear" w:color="auto" w:fill="F2F2F2"/>
          </w:tcPr>
          <w:p>
            <w:r/>
            <w:r>
              <w:rPr>
                <w:b w:val="0"/>
                <w:sz w:val="22"/>
              </w:rPr>
              <w:t>Demandeurs d'emploi</w:t>
            </w:r>
          </w:p>
        </w:tc>
        <w:tc>
          <w:tcPr>
            <w:tcW w:type="dxa" w:w="5102"/>
            <w:shd w:val="clear" w:color="auto" w:fill="F2F2F2"/>
          </w:tcPr>
          <w:p>
            <w:r/>
            <w:r>
              <w:rPr>
                <w:b w:val="0"/>
                <w:sz w:val="22"/>
              </w:rPr>
              <w:t xml:space="preserve">Rémunération du stagiaire maintenue (ARE ou rémunération de formation) → levier anti-abandon majeur. Modalités de paiement de l'organisme </w:t>
            </w:r>
            <w:r>
              <w:rPr>
                <w:b w:val="0"/>
                <w:sz w:val="22"/>
                <w:highlight w:val="yellow"/>
              </w:rPr>
              <w:t>[À VÉRIFIER auprès de la direction régionale]</w:t>
            </w:r>
            <w:r>
              <w:rPr>
                <w:b w:val="0"/>
                <w:sz w:val="22"/>
              </w:rPr>
              <w:t>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22"/>
              </w:rPr>
              <w:t>Région Réunion (marché public)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2"/>
              </w:rPr>
              <w:t>Demandeurs d'emploi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22"/>
              </w:rPr>
              <w:t xml:space="preserve">Le code de la commande publique prévoit une avance et des acomptes (R.2191-3 et suivants) — taux et rythme fixés par le marché </w:t>
            </w:r>
            <w:r>
              <w:rPr>
                <w:b w:val="0"/>
                <w:sz w:val="22"/>
                <w:highlight w:val="yellow"/>
              </w:rPr>
              <w:t>[À VÉRIFIER]</w:t>
            </w:r>
            <w:r>
              <w:rPr>
                <w:b w:val="0"/>
                <w:sz w:val="22"/>
              </w:rPr>
              <w:t>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r/>
            <w:r>
              <w:rPr>
                <w:b w:val="0"/>
                <w:sz w:val="22"/>
              </w:rPr>
              <w:t>OPCO (plan, Pro-A, contrat de professionnalisation)</w:t>
            </w:r>
          </w:p>
        </w:tc>
        <w:tc>
          <w:tcPr>
            <w:tcW w:type="dxa" w:w="2154"/>
            <w:shd w:val="clear" w:color="auto" w:fill="F2F2F2"/>
          </w:tcPr>
          <w:p>
            <w:r/>
            <w:r>
              <w:rPr>
                <w:b w:val="0"/>
                <w:sz w:val="22"/>
              </w:rPr>
              <w:t>Salariés, nouveaux embauchés</w:t>
            </w:r>
          </w:p>
        </w:tc>
        <w:tc>
          <w:tcPr>
            <w:tcW w:type="dxa" w:w="5102"/>
            <w:shd w:val="clear" w:color="auto" w:fill="F2F2F2"/>
          </w:tcPr>
          <w:p>
            <w:r/>
            <w:r>
              <w:rPr>
                <w:b w:val="0"/>
                <w:sz w:val="22"/>
              </w:rPr>
              <w:t>Contrat de professionnalisation : salarié rémunéré par l'employeur (faible abandon), forfait horaire de branche, sans statut de CFA.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22"/>
              </w:rPr>
              <w:t>Particuliers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2"/>
              </w:rPr>
              <w:t>Tous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22"/>
              </w:rPr>
              <w:t>Acompte de 30 % maximum après le délai de rétractation de 10 jours (art. L.6353-6), solde échelonné.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r/>
            <w:r>
              <w:rPr>
                <w:b w:val="0"/>
                <w:sz w:val="22"/>
              </w:rPr>
              <w:t>Intra-entreprise courte (IA, RGPD, management)</w:t>
            </w:r>
          </w:p>
        </w:tc>
        <w:tc>
          <w:tcPr>
            <w:tcW w:type="dxa" w:w="2154"/>
            <w:shd w:val="clear" w:color="auto" w:fill="F2F2F2"/>
          </w:tcPr>
          <w:p>
            <w:r/>
            <w:r>
              <w:rPr>
                <w:b w:val="0"/>
                <w:sz w:val="22"/>
              </w:rPr>
              <w:t>TPE-PME</w:t>
            </w:r>
          </w:p>
        </w:tc>
        <w:tc>
          <w:tcPr>
            <w:tcW w:type="dxa" w:w="5102"/>
            <w:shd w:val="clear" w:color="auto" w:fill="F2F2F2"/>
          </w:tcPr>
          <w:p>
            <w:r/>
            <w:r>
              <w:rPr>
                <w:b w:val="0"/>
                <w:sz w:val="22"/>
              </w:rPr>
              <w:t>Facturation rapide, marge élevée : finance le démarrage des parcours longs.</w:t>
            </w:r>
          </w:p>
        </w:tc>
      </w:tr>
    </w:tbl>
    <w:p/>
    <w:p>
      <w:r>
        <w:rPr>
          <w:b w:val="0"/>
        </w:rPr>
        <w:t>Règle d'or : un échéancier contractuel par étape (entrée / mi-parcours / fin) pour chaque convention, et un fonds de roulement couvrant 3 mois de charges avant d'ouvrir la première session longue.</w:t>
      </w:r>
    </w:p>
    <w:p>
      <w:pPr>
        <w:pStyle w:val="Heading1"/>
      </w:pPr>
      <w:r>
        <w:t>4. Réponse au courriel de la DEETS</w:t>
      </w:r>
    </w:p>
    <w:p>
      <w:r>
        <w:rPr>
          <w:b w:val="0"/>
        </w:rPr>
        <w:t>Ce courriel liste les conditions de l'article L.6351-5 du code du travail pour étendre une déclaration d'activité à l'apprentissage. Ces 18 pièces reprennent les missions des CFA (art. L.6231-2). Elles ne sont pas exigées pour la formation continue. Deux options 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3402"/>
        <w:gridCol w:w="3402"/>
      </w:tblGrid>
      <w:tr>
        <w:trPr>
          <w:tblHeader w:val="true"/>
        </w:trPr>
        <w:tc>
          <w:tcPr>
            <w:tcW w:type="dxa" w:w="2835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Option</w:t>
            </w:r>
          </w:p>
        </w:tc>
        <w:tc>
          <w:tcPr>
            <w:tcW w:type="dxa" w:w="3402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Avantages</w:t>
            </w:r>
          </w:p>
        </w:tc>
        <w:tc>
          <w:tcPr>
            <w:tcW w:type="dxa" w:w="3402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Risques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2"/>
              </w:rPr>
              <w:t>A — Suspendre la demande (recommandée)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2"/>
              </w:rPr>
              <w:t>Cohérent avec votre stratégie ; évite un dossier incomplet ; aucune nouvelle obligation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2"/>
              </w:rPr>
              <w:t>Aucun : vous pourrez redemander plus tard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/>
            <w:r>
              <w:rPr>
                <w:b w:val="0"/>
                <w:sz w:val="22"/>
              </w:rPr>
              <w:t>B — Envoyer le dossier complet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b w:val="0"/>
                <w:sz w:val="22"/>
              </w:rPr>
              <w:t>Ouvre l'apprentissage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b w:val="0"/>
                <w:sz w:val="22"/>
              </w:rPr>
              <w:t>Exige l'extension Qualiopi, des moyens réels (salarié dédié aux relations entreprises, locaux), le respect des missions CFA ; contrôle renforcé</w:t>
            </w:r>
          </w:p>
        </w:tc>
      </w:tr>
    </w:tbl>
    <w:p/>
    <w:p>
      <w:pPr>
        <w:pStyle w:val="Heading1"/>
      </w:pPr>
      <w:r>
        <w:t>5. Ce que contient le dossier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804"/>
      </w:tblGrid>
      <w:tr>
        <w:trPr>
          <w:tblHeader w:val="true"/>
        </w:trPr>
        <w:tc>
          <w:tcPr>
            <w:tcW w:type="dxa" w:w="2835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Dossier</w:t>
            </w:r>
          </w:p>
        </w:tc>
        <w:tc>
          <w:tcPr>
            <w:tcW w:type="dxa" w:w="6803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Contenu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2"/>
              </w:rPr>
              <w:t>01_Reponse_DEETS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22"/>
              </w:rPr>
              <w:t>Courriels versions A et B ; dossier des 18 pièces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/>
            <w:r>
              <w:rPr>
                <w:b w:val="0"/>
                <w:sz w:val="22"/>
              </w:rPr>
              <w:t>02_MEM et 02_RPMS</w:t>
            </w:r>
          </w:p>
        </w:tc>
        <w:tc>
          <w:tcPr>
            <w:tcW w:type="dxa" w:w="6803"/>
            <w:shd w:val="clear" w:color="auto" w:fill="F2F2F2"/>
          </w:tcPr>
          <w:p>
            <w:r/>
            <w:r>
              <w:rPr>
                <w:b w:val="0"/>
                <w:sz w:val="22"/>
              </w:rPr>
              <w:t>Programme (Qualiopi ind. 1-2), déroulé pédagogique + grilles critériées, décomposition des heures semaine par semaine + rétroplanning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2"/>
              </w:rPr>
              <w:t>03_Parcours_stagiaire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22"/>
              </w:rPr>
              <w:t>15 documents, de l'inscription au suivi à 6 mois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/>
            <w:r>
              <w:rPr>
                <w:b w:val="0"/>
                <w:sz w:val="22"/>
              </w:rPr>
              <w:t>04_RGPD_IA_Act</w:t>
            </w:r>
          </w:p>
        </w:tc>
        <w:tc>
          <w:tcPr>
            <w:tcW w:type="dxa" w:w="6803"/>
            <w:shd w:val="clear" w:color="auto" w:fill="F2F2F2"/>
          </w:tcPr>
          <w:p>
            <w:r/>
            <w:r>
              <w:rPr>
                <w:b w:val="0"/>
                <w:sz w:val="22"/>
              </w:rPr>
              <w:t>Registre des traitements, information, conservation, violations, charte IA et cartographie IA Act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2"/>
              </w:rPr>
              <w:t>05_Pilotage_annuel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22"/>
              </w:rPr>
              <w:t>Pièces par financeur et contrôleur, calendrier annuel, tableau de bord Excel (heures, indicateurs, absences)</w:t>
            </w:r>
          </w:p>
        </w:tc>
      </w:tr>
    </w:tbl>
    <w:p/>
    <w:p>
      <w:pPr>
        <w:pStyle w:val="Heading1"/>
      </w:pPr>
      <w:r>
        <w:t>6. Autocritique et corrections apportées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969"/>
        <w:gridCol w:w="3969"/>
      </w:tblGrid>
      <w:tr>
        <w:trPr>
          <w:tblHeader w:val="true"/>
        </w:trPr>
        <w:tc>
          <w:tcPr>
            <w:tcW w:type="dxa" w:w="1701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Angle</w:t>
            </w:r>
          </w:p>
        </w:tc>
        <w:tc>
          <w:tcPr>
            <w:tcW w:type="dxa" w:w="3969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Faille identifiée</w:t>
            </w:r>
          </w:p>
        </w:tc>
        <w:tc>
          <w:tcPr>
            <w:tcW w:type="dxa" w:w="3969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Correction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22"/>
              </w:rPr>
              <w:t>Juridique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22"/>
              </w:rPr>
              <w:t>Les durées de conservation des financeurs (notamment FSE+) peuvent dépasser 5 ans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22"/>
              </w:rPr>
              <w:t xml:space="preserve">Signalé </w:t>
            </w:r>
            <w:r>
              <w:rPr>
                <w:b w:val="0"/>
                <w:sz w:val="22"/>
                <w:highlight w:val="yellow"/>
              </w:rPr>
              <w:t>[À VÉRIFIER]</w:t>
            </w:r>
            <w:r>
              <w:rPr>
                <w:b w:val="0"/>
                <w:sz w:val="22"/>
              </w:rPr>
              <w:t xml:space="preserve"> dans le registre ; aligner sur chaque convention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b w:val="0"/>
                <w:sz w:val="22"/>
              </w:rPr>
              <w:t>Juridique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b w:val="0"/>
                <w:sz w:val="22"/>
              </w:rPr>
              <w:t>Durée de la période en entreprise du RPMS non confirmée par un texte officiel consulté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b w:val="0"/>
                <w:sz w:val="22"/>
              </w:rPr>
              <w:t xml:space="preserve">Marquée </w:t>
            </w:r>
            <w:r>
              <w:rPr>
                <w:b w:val="0"/>
                <w:sz w:val="22"/>
                <w:highlight w:val="yellow"/>
              </w:rPr>
              <w:t>[À VÉRIFIER]</w:t>
            </w:r>
            <w:r>
              <w:rPr>
                <w:b w:val="0"/>
                <w:sz w:val="22"/>
              </w:rPr>
              <w:t xml:space="preserve"> ; ne pas diffuser le programme RPMS avant vérification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22"/>
              </w:rPr>
              <w:t>Juridique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22"/>
              </w:rPr>
              <w:t>Calendrier IA Act des systèmes à haut risque possiblement reporté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22"/>
              </w:rPr>
              <w:t>Signalé dans la charte ; la politique YEBA (aucune IA décisionnelle) reste valable quel que soit le calendrier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b w:val="0"/>
                <w:sz w:val="22"/>
              </w:rPr>
              <w:t>Faisabilité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b w:val="0"/>
                <w:sz w:val="22"/>
              </w:rPr>
              <w:t>Le MEM impose un plateau informatique pour l'examen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b w:val="0"/>
                <w:sz w:val="22"/>
              </w:rPr>
              <w:t>Partenariat avec un centre agréé en attendant l'agrément ; investissement progressif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22"/>
              </w:rPr>
              <w:t>Faisabilité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22"/>
              </w:rPr>
              <w:t>Vous êtes souvent en retard sur votre programme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22"/>
              </w:rPr>
              <w:t>Rétroplanning à cocher, semaines incomplètes servant de rattrapage, préparation 2 semaines avant chaque module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b w:val="0"/>
                <w:sz w:val="22"/>
              </w:rPr>
              <w:t>Économique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b w:val="0"/>
                <w:sz w:val="22"/>
              </w:rPr>
              <w:t>Paiement à terme échu des financeurs publics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b w:val="0"/>
                <w:sz w:val="22"/>
              </w:rPr>
              <w:t>Diversification des financeurs + intra courtes + échéanciers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22"/>
              </w:rPr>
              <w:t>Social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22"/>
              </w:rPr>
              <w:t>Public Missions Locales : freins périphériques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22"/>
              </w:rPr>
              <w:t>Plan anti-décrochage, rémunération vérifiée avant l'entrée, alternance courte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b w:val="0"/>
                <w:sz w:val="22"/>
              </w:rPr>
              <w:t>Sécurité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b w:val="0"/>
                <w:sz w:val="22"/>
              </w:rPr>
              <w:t>Dossiers stagiaires sensibles (identité, NIR, handicap)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b w:val="0"/>
                <w:sz w:val="22"/>
              </w:rPr>
              <w:t>Outils hébergés dans l'UE, chiffrement, accès restreint, dossier handicap séparé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22"/>
              </w:rPr>
              <w:t>Écologique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22"/>
              </w:rPr>
              <w:t>Impression des dossiers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22"/>
              </w:rPr>
              <w:t>Dématérialisation (sauf pièces d'examen imprimées exigées), supports numériques accessibles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b w:val="0"/>
                <w:sz w:val="22"/>
              </w:rPr>
              <w:t>Politique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b w:val="0"/>
                <w:sz w:val="22"/>
              </w:rPr>
              <w:t>Dépendance aux appels d'offres régionaux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b w:val="0"/>
                <w:sz w:val="22"/>
              </w:rPr>
              <w:t>Présence parallèle sur le CPF et l'intra-entreprise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22"/>
              </w:rPr>
              <w:t>Technologique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22"/>
              </w:rPr>
              <w:t>Données de l'entreprise non récupérées automatiquement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22"/>
              </w:rPr>
              <w:t xml:space="preserve">Accès réseau à entreprise.api.gouv.fr indisponible ici, et cette API exige une habilitation : champs </w:t>
            </w:r>
            <w:r>
              <w:rPr>
                <w:b w:val="0"/>
                <w:sz w:val="22"/>
                <w:highlight w:val="yellow"/>
              </w:rPr>
              <w:t>[À COMPLÉTER]</w:t>
            </w:r>
            <w:r>
              <w:rPr>
                <w:b w:val="0"/>
                <w:sz w:val="22"/>
              </w:rPr>
              <w:t xml:space="preserve"> à remplir à partir de votre avis de situation INSEE / extrait RNE</w:t>
            </w:r>
          </w:p>
        </w:tc>
      </w:tr>
    </w:tbl>
    <w:p/>
    <w:p>
      <w:pPr>
        <w:pStyle w:val="Heading1"/>
      </w:pPr>
      <w:r>
        <w:t>7. Questions à trancher</w:t>
      </w:r>
    </w:p>
    <w:p>
      <w:pPr>
        <w:pStyle w:val="ListNumber"/>
      </w:pPr>
      <w:r>
        <w:rPr>
          <w:b w:val="0"/>
        </w:rPr>
        <w:t>Forme juridique de YEBA FORMATIONS (société avec statuts ou entreprise individuelle) ?</w:t>
      </w:r>
    </w:p>
    <w:p>
      <w:pPr>
        <w:pStyle w:val="ListNumber"/>
      </w:pPr>
      <w:r>
        <w:rPr>
          <w:b w:val="0"/>
        </w:rPr>
        <w:t>Date de réception du courriel de la DEETS (pour calculer la date limite de 12 jours) ?</w:t>
      </w:r>
    </w:p>
    <w:p>
      <w:pPr>
        <w:pStyle w:val="ListNumber"/>
      </w:pPr>
      <w:r>
        <w:rPr>
          <w:b w:val="0"/>
        </w:rPr>
        <w:t>Périmètre exact du certificat Qualiopi 25FOR02027.1 (catégories couvertes) et date de l'audit de surveillance ?</w:t>
      </w:r>
    </w:p>
    <w:p>
      <w:pPr>
        <w:pStyle w:val="ListNumber"/>
      </w:pPr>
      <w:r>
        <w:rPr>
          <w:b w:val="0"/>
        </w:rPr>
        <w:t>Rythme retenu par titre : option A (35 h), B (21 h) ou C (par blocs) ?</w:t>
      </w:r>
    </w:p>
    <w:p>
      <w:pPr>
        <w:pStyle w:val="ListNumber"/>
      </w:pPr>
      <w:r>
        <w:rPr>
          <w:b w:val="0"/>
        </w:rPr>
        <w:t>Horaires, pauses, adresse des locaux, capacité, équipement informatique ?</w:t>
      </w:r>
    </w:p>
    <w:p>
      <w:pPr>
        <w:pStyle w:val="ListNumber"/>
      </w:pPr>
      <w:r>
        <w:rPr>
          <w:b w:val="0"/>
        </w:rPr>
        <w:t>Tarifs envisagés par titre et par CCP ?</w:t>
      </w:r>
    </w:p>
    <w:p>
      <w:pPr>
        <w:pStyle w:val="ListNumber"/>
      </w:pPr>
      <w:r>
        <w:rPr>
          <w:b w:val="0"/>
        </w:rPr>
        <w:t>Le logo transmis est-il bien la version « sans l'œil » ? (c'est ce fichier qui est utilisé dans tous les documents)</w:t>
      </w:r>
    </w:p>
    <w:p>
      <w:pPr>
        <w:pStyle w:val="ListNumber"/>
      </w:pPr>
      <w:r>
        <w:rPr>
          <w:b w:val="0"/>
        </w:rPr>
        <w:t>Souhaitez-vous viser l'agrément de centre d'examen dès 2027, ou d'abord un partenariat ?</w:t>
      </w:r>
    </w:p>
    <w:p>
      <w:pPr>
        <w:pStyle w:val="Heading1"/>
      </w:pPr>
      <w:r>
        <w:t>8. Sources</w:t>
      </w:r>
    </w:p>
    <w:p>
      <w:pPr>
        <w:pStyle w:val="ListBullet"/>
      </w:pPr>
      <w:r>
        <w:rPr>
          <w:b w:val="0"/>
        </w:rPr>
        <w:t>Fiche RNCP41853 — TP Manager d'établissement marchand, francecompetences.fr (fiche PDF transmise, consultée le 21/10/2026).</w:t>
      </w:r>
    </w:p>
    <w:p>
      <w:pPr>
        <w:pStyle w:val="ListBullet"/>
      </w:pPr>
      <w:r>
        <w:rPr>
          <w:b w:val="0"/>
        </w:rPr>
        <w:t>Fiche RNCP38575 — TP Responsable de petite ou moyenne structure, francecompetences.fr (fiche PDF transmise, consultée le 21/10/2026).</w:t>
      </w:r>
    </w:p>
    <w:p>
      <w:pPr>
        <w:pStyle w:val="ListBullet"/>
      </w:pPr>
      <w:r>
        <w:rPr>
          <w:b w:val="0"/>
        </w:rPr>
        <w:t>Durée de la période en entreprise RPMS (210 h) : extraits des sites icademie.com et etudis.net — source secondaire, à confirmer.</w:t>
      </w:r>
    </w:p>
    <w:p>
      <w:pPr>
        <w:pStyle w:val="ListBullet"/>
      </w:pPr>
      <w:r>
        <w:rPr>
          <w:b w:val="0"/>
        </w:rPr>
        <w:t>Agrément des sessions de titres professionnels : formulaires DREETS (Corse, Normandie, Auvergne-Rhône-Alpes) et démarche « DEETS 974 — demande d'agrément pour organiser des sessions » sur demarche.numerique.gouv.fr.</w:t>
      </w:r>
    </w:p>
    <w:p>
      <w:pPr>
        <w:pStyle w:val="ListBullet"/>
      </w:pPr>
      <w:r>
        <w:rPr>
          <w:b w:val="0"/>
        </w:rPr>
        <w:t>Code du travail : articles L.6351-5, L.6353-1 à L.6353-7, L.6354-1, R.6352-1 à R.6352-15, L.6222-12-1, L.6222-18-2, L.8222-1.</w:t>
      </w:r>
    </w:p>
    <w:p>
      <w:pPr>
        <w:pStyle w:val="ListBullet"/>
      </w:pPr>
      <w:r>
        <w:rPr>
          <w:b w:val="0"/>
        </w:rPr>
        <w:t>Règlement (UE) 2016/679 (RGPD) ; règlement (UE) 2024/1689 (IA Act), articles 4, 5, 50 et annexe III.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BF6E9"/>
          </w:tcPr>
          <w:p>
            <w:r/>
            <w:r>
              <w:rPr>
                <w:b/>
                <w:color w:val="1B3A6B"/>
                <w:sz w:val="24"/>
              </w:rPr>
              <w:t>🔒 RGPD / IA Act — points de conformité de ce document</w:t>
            </w:r>
          </w:p>
          <w:p>
            <w:r>
              <w:rPr>
                <w:b w:val="0"/>
                <w:sz w:val="22"/>
              </w:rPr>
              <w:t>RGPD : toutes les données de stagiaires, candidats et prospects de ce dossier relèvent du RGPD (registre RGPD-01).</w:t>
            </w:r>
          </w:p>
          <w:p>
            <w:r>
              <w:rPr>
                <w:b w:val="0"/>
                <w:sz w:val="22"/>
              </w:rPr>
              <w:t>IA Act : la formation professionnelle relève de l'annexe III (haut risque) pour l'admission, l'évaluation et la surveillance des examens. La politique de YEBA FORMATIONS exclut ces usages.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NOTE-00  —  YEBA FORMATIONS — SIRET 814 622 262 00032 — Version 2026-10 — Page </w:t>
    </w:r>
    <w:r>
      <w:rPr>
        <w:sz w:val="18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676510" cy="57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yeba_formation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76510" cy="576000"/>
                  </a:xfrm>
                  <a:prstGeom prst="rect"/>
                </pic:spPr>
              </pic:pic>
            </a:graphicData>
          </a:graphic>
        </wp:inline>
      </w:drawing>
    </w:r>
    <w:r>
      <w:rPr>
        <w:color w:val="1B3A6B"/>
        <w:sz w:val="18"/>
      </w:rPr>
      <w:t xml:space="preserve">    YEBA FORMATIONS  |  NDA 04973676397  |  Qualiopi 25FOR02027.1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B3A6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3A6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C9A94D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Note d'expertise — Formation continue certifiante niveau 5</dc:title>
  <dc:subject/>
  <dc:creator>YEBA FORMATIONS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fr-FR</dc:language>
</cp:coreProperties>
</file>