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A6B"/>
          <w:sz w:val="44"/>
        </w:rPr>
        <w:t>Programme de formation — Titre professionnel Manager d'établissement marchand</w:t>
      </w:r>
    </w:p>
    <w:p>
      <w:r>
        <w:rPr>
          <w:b/>
          <w:color w:val="C9A94D"/>
          <w:sz w:val="28"/>
        </w:rPr>
        <w:t>RNCP41853 • Niveau 5 (cadre national des certifications) • 560 h en centre + 280 h en entreprise</w:t>
      </w:r>
    </w:p>
    <w:p>
      <w:pPr>
        <w:pBdr>
          <w:bottom w:val="single" w:sz="18" w:space="1" w:color="C9A94D"/>
        </w:pBdr>
      </w:pPr>
    </w:p>
    <w:p>
      <w:pPr>
        <w:pStyle w:val="Heading1"/>
      </w:pPr>
      <w:r>
        <w:t>1. Identification</w:t>
      </w:r>
    </w:p>
    <w:tbl>
      <w:tblPr>
        <w:tblStyle w:val="TableGrid"/>
        <w:tblW w:type="auto" w:w="0"/>
        <w:jc w:val="center"/>
        <w:tblLayout w:type="fixed"/>
        <w:tblLook w:firstColumn="1" w:firstRow="1" w:lastColumn="0" w:lastRow="0" w:noHBand="0" w:noVBand="1" w:val="04A0"/>
      </w:tblPr>
      <w:tblGrid>
        <w:gridCol w:w="2835"/>
        <w:gridCol w:w="6804"/>
      </w:tblGrid>
      <w:tr>
        <w:trPr>
          <w:tblHeader w:val="true"/>
        </w:trPr>
        <w:tc>
          <w:tcPr>
            <w:tcW w:type="dxa" w:w="2835"/>
            <w:shd w:val="clear" w:color="auto" w:fill="1B3A6B"/>
          </w:tcPr>
          <w:p>
            <w:r/>
            <w:r>
              <w:rPr>
                <w:b/>
                <w:color w:val="FFFFFF"/>
                <w:sz w:val="22"/>
              </w:rPr>
              <w:t>Rubrique</w:t>
            </w:r>
          </w:p>
        </w:tc>
        <w:tc>
          <w:tcPr>
            <w:tcW w:type="dxa" w:w="6803"/>
            <w:shd w:val="clear" w:color="auto" w:fill="1B3A6B"/>
          </w:tcPr>
          <w:p>
            <w:r/>
            <w:r>
              <w:rPr>
                <w:b/>
                <w:color w:val="FFFFFF"/>
                <w:sz w:val="22"/>
              </w:rPr>
              <w:t>Information</w:t>
            </w:r>
          </w:p>
        </w:tc>
      </w:tr>
      <w:tr>
        <w:tc>
          <w:tcPr>
            <w:tcW w:type="dxa" w:w="2835"/>
          </w:tcPr>
          <w:p>
            <w:r/>
            <w:r>
              <w:rPr>
                <w:b w:val="0"/>
                <w:sz w:val="22"/>
              </w:rPr>
              <w:t>Certification</w:t>
            </w:r>
          </w:p>
        </w:tc>
        <w:tc>
          <w:tcPr>
            <w:tcW w:type="dxa" w:w="6803"/>
          </w:tcPr>
          <w:p>
            <w:r/>
            <w:r>
              <w:rPr>
                <w:b w:val="0"/>
                <w:sz w:val="22"/>
              </w:rPr>
              <w:t>Titre professionnel Manager d'établissement marchand — RNCP41853</w:t>
            </w:r>
          </w:p>
        </w:tc>
      </w:tr>
      <w:tr>
        <w:tc>
          <w:tcPr>
            <w:tcW w:type="dxa" w:w="2835"/>
            <w:shd w:val="clear" w:color="auto" w:fill="F2F2F2"/>
          </w:tcPr>
          <w:p>
            <w:r/>
            <w:r>
              <w:rPr>
                <w:b w:val="0"/>
                <w:sz w:val="22"/>
              </w:rPr>
              <w:t>Certificateur</w:t>
            </w:r>
          </w:p>
        </w:tc>
        <w:tc>
          <w:tcPr>
            <w:tcW w:type="dxa" w:w="6803"/>
            <w:shd w:val="clear" w:color="auto" w:fill="F2F2F2"/>
          </w:tcPr>
          <w:p>
            <w:r/>
            <w:r>
              <w:rPr>
                <w:b w:val="0"/>
                <w:sz w:val="22"/>
              </w:rPr>
              <w:t>Ministère du Travail, du Plein Emploi et de l'Insertion</w:t>
            </w:r>
          </w:p>
        </w:tc>
      </w:tr>
      <w:tr>
        <w:tc>
          <w:tcPr>
            <w:tcW w:type="dxa" w:w="2835"/>
          </w:tcPr>
          <w:p>
            <w:r/>
            <w:r>
              <w:rPr>
                <w:b w:val="0"/>
                <w:sz w:val="22"/>
              </w:rPr>
              <w:t>Niveau</w:t>
            </w:r>
          </w:p>
        </w:tc>
        <w:tc>
          <w:tcPr>
            <w:tcW w:type="dxa" w:w="6803"/>
          </w:tcPr>
          <w:p>
            <w:r/>
            <w:r>
              <w:rPr>
                <w:b w:val="0"/>
                <w:sz w:val="22"/>
              </w:rPr>
              <w:t>Niveau 5 (cadre national des certifications)</w:t>
            </w:r>
          </w:p>
        </w:tc>
      </w:tr>
      <w:tr>
        <w:tc>
          <w:tcPr>
            <w:tcW w:type="dxa" w:w="2835"/>
            <w:shd w:val="clear" w:color="auto" w:fill="F2F2F2"/>
          </w:tcPr>
          <w:p>
            <w:r/>
            <w:r>
              <w:rPr>
                <w:b w:val="0"/>
                <w:sz w:val="22"/>
              </w:rPr>
              <w:t>Texte de référence</w:t>
            </w:r>
          </w:p>
        </w:tc>
        <w:tc>
          <w:tcPr>
            <w:tcW w:type="dxa" w:w="6803"/>
            <w:shd w:val="clear" w:color="auto" w:fill="F2F2F2"/>
          </w:tcPr>
          <w:p>
            <w:r/>
            <w:r>
              <w:rPr>
                <w:b w:val="0"/>
                <w:sz w:val="22"/>
              </w:rPr>
              <w:t>Arrêté du 4 décembre 2025 (JO) — parcours certifiants à partir du 03/03/2026, échéance 02/03/2031</w:t>
            </w:r>
          </w:p>
        </w:tc>
      </w:tr>
      <w:tr>
        <w:tc>
          <w:tcPr>
            <w:tcW w:type="dxa" w:w="2835"/>
          </w:tcPr>
          <w:p>
            <w:r/>
            <w:r>
              <w:rPr>
                <w:b w:val="0"/>
                <w:sz w:val="22"/>
              </w:rPr>
              <w:t>Codes ROME</w:t>
            </w:r>
          </w:p>
        </w:tc>
        <w:tc>
          <w:tcPr>
            <w:tcW w:type="dxa" w:w="6803"/>
          </w:tcPr>
          <w:p>
            <w:r/>
            <w:r>
              <w:rPr>
                <w:b w:val="0"/>
                <w:sz w:val="22"/>
              </w:rPr>
              <w:t>D1502, D1503, D1508, D1509</w:t>
            </w:r>
          </w:p>
        </w:tc>
      </w:tr>
      <w:tr>
        <w:tc>
          <w:tcPr>
            <w:tcW w:type="dxa" w:w="2835"/>
            <w:shd w:val="clear" w:color="auto" w:fill="F2F2F2"/>
          </w:tcPr>
          <w:p>
            <w:r/>
            <w:r>
              <w:rPr>
                <w:b w:val="0"/>
                <w:sz w:val="22"/>
              </w:rPr>
              <w:t>Organisme de formation</w:t>
            </w:r>
          </w:p>
        </w:tc>
        <w:tc>
          <w:tcPr>
            <w:tcW w:type="dxa" w:w="6803"/>
            <w:shd w:val="clear" w:color="auto" w:fill="F2F2F2"/>
          </w:tcPr>
          <w:p>
            <w:r/>
            <w:r>
              <w:rPr>
                <w:b w:val="0"/>
                <w:sz w:val="22"/>
              </w:rPr>
              <w:t>YEBA FORMATIONS — NDA 04973676397 — Qualiopi 25FOR02027.1 (catégorie : actions de formation)</w:t>
            </w:r>
          </w:p>
        </w:tc>
      </w:tr>
      <w:tr>
        <w:tc>
          <w:tcPr>
            <w:tcW w:type="dxa" w:w="2835"/>
          </w:tcPr>
          <w:p>
            <w:r/>
            <w:r>
              <w:rPr>
                <w:b w:val="0"/>
                <w:sz w:val="22"/>
              </w:rPr>
              <w:t>Centre d'examen</w:t>
            </w:r>
          </w:p>
        </w:tc>
        <w:tc>
          <w:tcPr>
            <w:tcW w:type="dxa" w:w="6803"/>
          </w:tcPr>
          <w:p>
            <w:r/>
            <w:r>
              <w:rPr>
                <w:b w:val="0"/>
                <w:sz w:val="22"/>
                <w:highlight w:val="yellow"/>
              </w:rPr>
              <w:t>[À COMPLÉTER : YEBA FORMATIONS si agrément DEETS obtenu pour ce titre, sinon centre agréé partenaire]</w:t>
            </w:r>
          </w:p>
        </w:tc>
      </w:tr>
    </w:tbl>
    <w:p/>
    <w:p>
      <w:pPr>
        <w:pStyle w:val="Heading1"/>
      </w:pPr>
      <w:r>
        <w:t>2. Public et conditions d'accès</w:t>
      </w:r>
    </w:p>
    <w:p>
      <w:r>
        <w:rPr>
          <w:b w:val="0"/>
        </w:rPr>
        <w:t>Demandeurs d'emploi (orientés par France Travail ou les Missions Locales), salariés en reconversion ou en évolution (CPF, projet de transition professionnelle, plan de développement des compétences), personnes en situation de handicap (parcours adapté).</w:t>
      </w:r>
    </w:p>
    <w:p>
      <w:pPr>
        <w:pStyle w:val="Heading3"/>
      </w:pPr>
      <w:r>
        <w:t>Prérequis et admission</w:t>
      </w:r>
    </w:p>
    <w:p>
      <w:pPr>
        <w:pStyle w:val="ListBullet"/>
      </w:pPr>
      <w:r>
        <w:rPr>
          <w:b w:val="0"/>
        </w:rPr>
        <w:t>Aucun prérequis réglementaire fixé par le titre.</w:t>
      </w:r>
    </w:p>
    <w:p>
      <w:pPr>
        <w:pStyle w:val="ListBullet"/>
      </w:pPr>
      <w:r>
        <w:rPr>
          <w:b w:val="0"/>
        </w:rPr>
        <w:t>Critères d'admission YEBA FORMATIONS : expérience dans la vente, le commerce ou l'encadrement (même courte, y compris job étudiant) OU niveau 4 (bac) ; maîtrise du français écrit et oral ; bases de l'outil informatique.</w:t>
      </w:r>
    </w:p>
    <w:p>
      <w:pPr>
        <w:pStyle w:val="ListBullet"/>
      </w:pPr>
      <w:r>
        <w:rPr>
          <w:b w:val="0"/>
        </w:rPr>
        <w:t>Validation par : information collective + test de positionnement + entretien individuel de motivation (projet professionnel).</w:t>
      </w:r>
    </w:p>
    <w:p>
      <w:pPr>
        <w:pStyle w:val="Heading3"/>
      </w:pPr>
      <w:r>
        <w:t>Délais d'accès</w:t>
      </w:r>
    </w:p>
    <w:p>
      <w:pPr>
        <w:pStyle w:val="ListBullet"/>
      </w:pPr>
      <w:r>
        <w:rPr>
          <w:b w:val="0"/>
        </w:rPr>
        <w:t xml:space="preserve">Information collective : </w:t>
      </w:r>
      <w:r>
        <w:rPr>
          <w:b w:val="0"/>
          <w:highlight w:val="yellow"/>
        </w:rPr>
        <w:t>[À COMPLÉTER : dates]</w:t>
      </w:r>
      <w:r>
        <w:rPr>
          <w:b w:val="0"/>
        </w:rPr>
        <w:t xml:space="preserve"> ; réponse à la candidature sous 10 jours ouvrés après l'entretien.</w:t>
      </w:r>
    </w:p>
    <w:p>
      <w:pPr>
        <w:pStyle w:val="ListBullet"/>
      </w:pPr>
      <w:r>
        <w:rPr>
          <w:b w:val="0"/>
        </w:rPr>
        <w:t xml:space="preserve">Financement CPF : respect du délai minimal imposé par Mon Compte Formation entre la proposition et l'entrée en formation </w:t>
      </w:r>
      <w:r>
        <w:rPr>
          <w:b w:val="0"/>
          <w:highlight w:val="yellow"/>
        </w:rPr>
        <w:t>[À VÉRIFIER : délai en vigueur sur EDOF]</w:t>
      </w:r>
      <w:r>
        <w:rPr>
          <w:b w:val="0"/>
        </w:rPr>
        <w:t>.</w:t>
      </w:r>
    </w:p>
    <w:p>
      <w:pPr>
        <w:pStyle w:val="ListBullet"/>
      </w:pPr>
      <w:r>
        <w:rPr>
          <w:b w:val="0"/>
        </w:rPr>
        <w:t xml:space="preserve">Financement France Travail (AIF) : dépôt du devis sur KAIROS au moins 15 jours avant le démarrage </w:t>
      </w:r>
      <w:r>
        <w:rPr>
          <w:b w:val="0"/>
          <w:highlight w:val="yellow"/>
        </w:rPr>
        <w:t>[À VÉRIFIER : délai local France Travail Réunion]</w:t>
      </w:r>
      <w:r>
        <w:rPr>
          <w:b w:val="0"/>
        </w:rPr>
        <w:t>.</w:t>
      </w:r>
    </w:p>
    <w:p>
      <w:pPr>
        <w:pStyle w:val="Heading1"/>
      </w:pPr>
      <w:r>
        <w:t>3. Objectifs — compétences visées</w:t>
      </w:r>
    </w:p>
    <w:p>
      <w:pPr>
        <w:pStyle w:val="Heading3"/>
      </w:pPr>
      <w:r>
        <w:t>CCP1 — RNCP41853BC01 : Manager l'équipe de son périmètre au sein de l'établissement marchand</w:t>
      </w:r>
    </w:p>
    <w:p>
      <w:pPr>
        <w:pStyle w:val="ListBullet"/>
      </w:pPr>
      <w:r>
        <w:rPr>
          <w:b w:val="0"/>
        </w:rPr>
        <w:t>Animer l'équipe de son périmètre — Conduire un briefing, un débriefing et une réunion d'équipe qui mobilisent.</w:t>
      </w:r>
    </w:p>
    <w:p>
      <w:pPr>
        <w:pStyle w:val="ListBullet"/>
      </w:pPr>
      <w:r>
        <w:rPr>
          <w:b w:val="0"/>
        </w:rPr>
        <w:t>Planifier et coordonner l'activité de l'équipe — Construire un planning conforme au droit du travail et aux flux clients.</w:t>
      </w:r>
    </w:p>
    <w:p>
      <w:pPr>
        <w:pStyle w:val="ListBullet"/>
      </w:pPr>
      <w:r>
        <w:rPr>
          <w:b w:val="0"/>
        </w:rPr>
        <w:t>Accompagner la performance individuelle des collaborateurs — Fixer des objectifs, conduire un entretien et organiser une montée en compétences.</w:t>
      </w:r>
    </w:p>
    <w:p>
      <w:pPr>
        <w:pStyle w:val="ListBullet"/>
      </w:pPr>
      <w:r>
        <w:rPr>
          <w:b w:val="0"/>
        </w:rPr>
        <w:t>Contribuer au recrutement et à l'intégration — Définir un besoin, sélectionner sans discriminer et réussir une intégration.</w:t>
      </w:r>
    </w:p>
    <w:p>
      <w:pPr>
        <w:pStyle w:val="Heading3"/>
      </w:pPr>
      <w:r>
        <w:t>CCP2 — RNCP41853BC02 : Développer la dynamique commerciale de son périmètre au sein de l'établissement marchand</w:t>
      </w:r>
    </w:p>
    <w:p>
      <w:pPr>
        <w:pStyle w:val="ListBullet"/>
      </w:pPr>
      <w:r>
        <w:rPr>
          <w:b w:val="0"/>
        </w:rPr>
        <w:t>Gérer l'approvisionnement de son périmètre — Anticiper les besoins, commander, réceptionner et stocker en limitant le gaspillage.</w:t>
      </w:r>
    </w:p>
    <w:p>
      <w:pPr>
        <w:pStyle w:val="ListBullet"/>
      </w:pPr>
      <w:r>
        <w:rPr>
          <w:b w:val="0"/>
        </w:rPr>
        <w:t>Organiser et mettre en œuvre le merchandising — Implanter l'offre et conduire une opération commerciale rentable.</w:t>
      </w:r>
    </w:p>
    <w:p>
      <w:pPr>
        <w:pStyle w:val="ListBullet"/>
      </w:pPr>
      <w:r>
        <w:rPr>
          <w:b w:val="0"/>
        </w:rPr>
        <w:t>Participer à l'amélioration de l'expérience client — Mesurer et améliorer la satisfaction client, y compris pour les clients en situation de handicap.</w:t>
      </w:r>
    </w:p>
    <w:p>
      <w:pPr>
        <w:pStyle w:val="Heading3"/>
      </w:pPr>
      <w:r>
        <w:t>CCP3 — RNCP41853BC03 : Contribuer à la performance commerciale et à la rentabilité de son périmètre au sein de l'établissement marchand</w:t>
      </w:r>
    </w:p>
    <w:p>
      <w:pPr>
        <w:pStyle w:val="ListBullet"/>
      </w:pPr>
      <w:r>
        <w:rPr>
          <w:b w:val="0"/>
        </w:rPr>
        <w:t>Analyser la performance commerciale de son périmètre — Lire et commenter un tableau de bord commercial.</w:t>
      </w:r>
    </w:p>
    <w:p>
      <w:pPr>
        <w:pStyle w:val="ListBullet"/>
      </w:pPr>
      <w:r>
        <w:rPr>
          <w:b w:val="0"/>
        </w:rPr>
        <w:t>Analyser la rentabilité de son périmètre — Calculer et interpréter marge, frais et contribution du rayon.</w:t>
      </w:r>
    </w:p>
    <w:p>
      <w:pPr>
        <w:pStyle w:val="ListBullet"/>
      </w:pPr>
      <w:r>
        <w:rPr>
          <w:b w:val="0"/>
        </w:rPr>
        <w:t>Proposer des actions correctives et suivre le plan d'actions — Présenter à sa hiérarchie un plan d'actions argumenté et en assurer le suivi.</w:t>
      </w:r>
    </w:p>
    <w:p>
      <w:pPr>
        <w:pStyle w:val="Heading3"/>
      </w:pPr>
      <w:r>
        <w:t>Compétences transversales (plus-value YEBA FORMATIONS)</w:t>
      </w:r>
    </w:p>
    <w:p>
      <w:pPr>
        <w:pStyle w:val="ListBullet"/>
      </w:pPr>
      <w:r>
        <w:rPr>
          <w:b w:val="0"/>
        </w:rPr>
        <w:t>Accueil, intégration et positionnement (14 h)</w:t>
      </w:r>
    </w:p>
    <w:p>
      <w:pPr>
        <w:pStyle w:val="ListBullet"/>
      </w:pPr>
      <w:r>
        <w:rPr>
          <w:b w:val="0"/>
        </w:rPr>
        <w:t>IA appliquée au management et au commerce (module distinctif YEBA) (42 h)</w:t>
      </w:r>
    </w:p>
    <w:p>
      <w:pPr>
        <w:pStyle w:val="ListBullet"/>
      </w:pPr>
      <w:r>
        <w:rPr>
          <w:b w:val="0"/>
        </w:rPr>
        <w:t>Bureautique et tableur pour les épreuves (21 h)</w:t>
      </w:r>
    </w:p>
    <w:p>
      <w:pPr>
        <w:pStyle w:val="ListBullet"/>
      </w:pPr>
      <w:r>
        <w:rPr>
          <w:b w:val="0"/>
        </w:rPr>
        <w:t>Dossier professionnel et productions pour l'examen (21 h)</w:t>
      </w:r>
    </w:p>
    <w:p>
      <w:pPr>
        <w:pStyle w:val="ListBullet"/>
      </w:pPr>
      <w:r>
        <w:rPr>
          <w:b w:val="0"/>
        </w:rPr>
        <w:t>Préparation de la période en entreprise et recherche d'emploi (14 h)</w:t>
      </w:r>
    </w:p>
    <w:p>
      <w:pPr>
        <w:pStyle w:val="ListBullet"/>
      </w:pPr>
      <w:r>
        <w:rPr>
          <w:b w:val="0"/>
        </w:rPr>
        <w:t>Entraînement aux épreuves du titre (21 h)</w:t>
      </w:r>
    </w:p>
    <w:p>
      <w:pPr>
        <w:pStyle w:val="ListBullet"/>
      </w:pPr>
      <w:r>
        <w:rPr>
          <w:b w:val="0"/>
        </w:rPr>
        <w:t>Suivi individuel et prévention du décrochage (7 h)</w:t>
      </w:r>
    </w:p>
    <w:p>
      <w:pPr>
        <w:pStyle w:val="Heading1"/>
      </w:pPr>
      <w:r>
        <w:t>4. Durée, rythme et organisation</w:t>
      </w:r>
    </w:p>
    <w:tbl>
      <w:tblPr>
        <w:tblStyle w:val="TableGrid"/>
        <w:tblW w:type="auto" w:w="0"/>
        <w:jc w:val="center"/>
        <w:tblLayout w:type="fixed"/>
        <w:tblLook w:firstColumn="1" w:firstRow="1" w:lastColumn="0" w:lastRow="0" w:noHBand="0" w:noVBand="1" w:val="04A0"/>
      </w:tblPr>
      <w:tblGrid>
        <w:gridCol w:w="2835"/>
        <w:gridCol w:w="6804"/>
      </w:tblGrid>
      <w:tr>
        <w:trPr>
          <w:tblHeader w:val="true"/>
        </w:trPr>
        <w:tc>
          <w:tcPr>
            <w:tcW w:type="dxa" w:w="2835"/>
            <w:shd w:val="clear" w:color="auto" w:fill="1B3A6B"/>
          </w:tcPr>
          <w:p>
            <w:r/>
            <w:r>
              <w:rPr>
                <w:b/>
                <w:color w:val="FFFFFF"/>
                <w:sz w:val="22"/>
              </w:rPr>
              <w:t>Élément</w:t>
            </w:r>
          </w:p>
        </w:tc>
        <w:tc>
          <w:tcPr>
            <w:tcW w:type="dxa" w:w="6803"/>
            <w:shd w:val="clear" w:color="auto" w:fill="1B3A6B"/>
          </w:tcPr>
          <w:p>
            <w:r/>
            <w:r>
              <w:rPr>
                <w:b/>
                <w:color w:val="FFFFFF"/>
                <w:sz w:val="22"/>
              </w:rPr>
              <w:t>Valeur</w:t>
            </w:r>
          </w:p>
        </w:tc>
      </w:tr>
      <w:tr>
        <w:tc>
          <w:tcPr>
            <w:tcW w:type="dxa" w:w="2835"/>
          </w:tcPr>
          <w:p>
            <w:r/>
            <w:r>
              <w:rPr>
                <w:b w:val="0"/>
                <w:sz w:val="22"/>
              </w:rPr>
              <w:t>Durée en centre</w:t>
            </w:r>
          </w:p>
        </w:tc>
        <w:tc>
          <w:tcPr>
            <w:tcW w:type="dxa" w:w="6803"/>
          </w:tcPr>
          <w:p>
            <w:r/>
            <w:r>
              <w:rPr>
                <w:b w:val="0"/>
                <w:sz w:val="22"/>
              </w:rPr>
              <w:t>560 heures</w:t>
            </w:r>
          </w:p>
        </w:tc>
      </w:tr>
      <w:tr>
        <w:tc>
          <w:tcPr>
            <w:tcW w:type="dxa" w:w="2835"/>
            <w:shd w:val="clear" w:color="auto" w:fill="F2F2F2"/>
          </w:tcPr>
          <w:p>
            <w:r/>
            <w:r>
              <w:rPr>
                <w:b w:val="0"/>
                <w:sz w:val="22"/>
              </w:rPr>
              <w:t>Période en entreprise</w:t>
            </w:r>
          </w:p>
        </w:tc>
        <w:tc>
          <w:tcPr>
            <w:tcW w:type="dxa" w:w="6803"/>
            <w:shd w:val="clear" w:color="auto" w:fill="F2F2F2"/>
          </w:tcPr>
          <w:p>
            <w:r/>
            <w:r>
              <w:rPr>
                <w:b w:val="0"/>
                <w:sz w:val="22"/>
              </w:rPr>
              <w:t>280 heures — 280 h minimum — article 6 de l'arrêté du 4 décembre 2025 (cité sur la fiche RNCP41853)</w:t>
            </w:r>
          </w:p>
        </w:tc>
      </w:tr>
      <w:tr>
        <w:tc>
          <w:tcPr>
            <w:tcW w:type="dxa" w:w="2835"/>
          </w:tcPr>
          <w:p>
            <w:r/>
            <w:r>
              <w:rPr>
                <w:b w:val="0"/>
                <w:sz w:val="22"/>
              </w:rPr>
              <w:t>Durée totale du parcours</w:t>
            </w:r>
          </w:p>
        </w:tc>
        <w:tc>
          <w:tcPr>
            <w:tcW w:type="dxa" w:w="6803"/>
          </w:tcPr>
          <w:p>
            <w:r/>
            <w:r>
              <w:rPr>
                <w:b w:val="0"/>
                <w:sz w:val="22"/>
              </w:rPr>
              <w:t>840 heures (hors session d'examen)</w:t>
            </w:r>
          </w:p>
        </w:tc>
      </w:tr>
      <w:tr>
        <w:tc>
          <w:tcPr>
            <w:tcW w:type="dxa" w:w="2835"/>
            <w:shd w:val="clear" w:color="auto" w:fill="F2F2F2"/>
          </w:tcPr>
          <w:p>
            <w:r/>
            <w:r>
              <w:rPr>
                <w:b w:val="0"/>
                <w:sz w:val="22"/>
              </w:rPr>
              <w:t>Rythme</w:t>
            </w:r>
          </w:p>
        </w:tc>
        <w:tc>
          <w:tcPr>
            <w:tcW w:type="dxa" w:w="6803"/>
            <w:shd w:val="clear" w:color="auto" w:fill="F2F2F2"/>
          </w:tcPr>
          <w:p>
            <w:r/>
            <w:r>
              <w:rPr>
                <w:b w:val="0"/>
                <w:sz w:val="22"/>
              </w:rPr>
              <w:t xml:space="preserve">35 h / semaine — </w:t>
            </w:r>
            <w:r>
              <w:rPr>
                <w:b w:val="0"/>
                <w:sz w:val="22"/>
                <w:highlight w:val="yellow"/>
              </w:rPr>
              <w:t>[À COMPLÉTER : horaires, ex. 8 h 00 – 12 h 00 / 13 h 00 – 16 h 00]</w:t>
            </w:r>
          </w:p>
        </w:tc>
      </w:tr>
      <w:tr>
        <w:tc>
          <w:tcPr>
            <w:tcW w:type="dxa" w:w="2835"/>
          </w:tcPr>
          <w:p>
            <w:r/>
            <w:r>
              <w:rPr>
                <w:b w:val="0"/>
                <w:sz w:val="22"/>
              </w:rPr>
              <w:t>Pauses</w:t>
            </w:r>
          </w:p>
        </w:tc>
        <w:tc>
          <w:tcPr>
            <w:tcW w:type="dxa" w:w="6803"/>
          </w:tcPr>
          <w:p>
            <w:r/>
            <w:r>
              <w:rPr>
                <w:b w:val="0"/>
                <w:sz w:val="22"/>
                <w:highlight w:val="yellow"/>
              </w:rPr>
              <w:t>[À COMPLÉTER : ex. 15 min le matin, 15 min l'après-midi]</w:t>
            </w:r>
          </w:p>
        </w:tc>
      </w:tr>
      <w:tr>
        <w:tc>
          <w:tcPr>
            <w:tcW w:type="dxa" w:w="2835"/>
            <w:shd w:val="clear" w:color="auto" w:fill="F2F2F2"/>
          </w:tcPr>
          <w:p>
            <w:r/>
            <w:r>
              <w:rPr>
                <w:b w:val="0"/>
                <w:sz w:val="22"/>
              </w:rPr>
              <w:t>Dates de session</w:t>
            </w:r>
          </w:p>
        </w:tc>
        <w:tc>
          <w:tcPr>
            <w:tcW w:type="dxa" w:w="6803"/>
            <w:shd w:val="clear" w:color="auto" w:fill="F2F2F2"/>
          </w:tcPr>
          <w:p>
            <w:r/>
            <w:r>
              <w:rPr>
                <w:b w:val="0"/>
                <w:sz w:val="22"/>
                <w:highlight w:val="yellow"/>
              </w:rPr>
              <w:t>[À COMPLÉTER : date de début — date de fin]</w:t>
            </w:r>
          </w:p>
        </w:tc>
      </w:tr>
      <w:tr>
        <w:tc>
          <w:tcPr>
            <w:tcW w:type="dxa" w:w="2835"/>
          </w:tcPr>
          <w:p>
            <w:r/>
            <w:r>
              <w:rPr>
                <w:b w:val="0"/>
                <w:sz w:val="22"/>
              </w:rPr>
              <w:t>Lieu</w:t>
            </w:r>
          </w:p>
        </w:tc>
        <w:tc>
          <w:tcPr>
            <w:tcW w:type="dxa" w:w="6803"/>
          </w:tcPr>
          <w:p>
            <w:r/>
            <w:r>
              <w:rPr>
                <w:b w:val="0"/>
                <w:sz w:val="22"/>
                <w:highlight w:val="yellow"/>
              </w:rPr>
              <w:t>[À COMPLÉTER : adresse des locaux ; accessibilité PMR]</w:t>
            </w:r>
          </w:p>
        </w:tc>
      </w:tr>
      <w:tr>
        <w:tc>
          <w:tcPr>
            <w:tcW w:type="dxa" w:w="2835"/>
            <w:shd w:val="clear" w:color="auto" w:fill="F2F2F2"/>
          </w:tcPr>
          <w:p>
            <w:r/>
            <w:r>
              <w:rPr>
                <w:b w:val="0"/>
                <w:sz w:val="22"/>
              </w:rPr>
              <w:t>Effectif</w:t>
            </w:r>
          </w:p>
        </w:tc>
        <w:tc>
          <w:tcPr>
            <w:tcW w:type="dxa" w:w="6803"/>
            <w:shd w:val="clear" w:color="auto" w:fill="F2F2F2"/>
          </w:tcPr>
          <w:p>
            <w:r/>
            <w:r>
              <w:rPr>
                <w:b w:val="0"/>
                <w:sz w:val="22"/>
                <w:highlight w:val="yellow"/>
              </w:rPr>
              <w:t>[À COMPLÉTER : minimum / maximum, ex. 8 à 14 stagiaires]</w:t>
            </w:r>
          </w:p>
        </w:tc>
      </w:tr>
      <w:tr>
        <w:tc>
          <w:tcPr>
            <w:tcW w:type="dxa" w:w="2835"/>
          </w:tcPr>
          <w:p>
            <w:r/>
            <w:r>
              <w:rPr>
                <w:b w:val="0"/>
                <w:sz w:val="22"/>
              </w:rPr>
              <w:t>Modalité</w:t>
            </w:r>
          </w:p>
        </w:tc>
        <w:tc>
          <w:tcPr>
            <w:tcW w:type="dxa" w:w="6803"/>
          </w:tcPr>
          <w:p>
            <w:r/>
            <w:r>
              <w:rPr>
                <w:b w:val="0"/>
                <w:sz w:val="22"/>
              </w:rPr>
              <w:t xml:space="preserve">Présentiel (possibilité de modules à distance synchrones : </w:t>
            </w:r>
            <w:r>
              <w:rPr>
                <w:b w:val="0"/>
                <w:sz w:val="22"/>
                <w:highlight w:val="yellow"/>
              </w:rPr>
              <w:t>[À COMPLÉTER]</w:t>
            </w:r>
            <w:r>
              <w:rPr>
                <w:b w:val="0"/>
                <w:sz w:val="22"/>
              </w:rPr>
              <w:t>)</w:t>
            </w:r>
          </w:p>
        </w:tc>
      </w:tr>
      <w:tr>
        <w:tc>
          <w:tcPr>
            <w:tcW w:type="dxa" w:w="2835"/>
            <w:shd w:val="clear" w:color="auto" w:fill="F2F2F2"/>
          </w:tcPr>
          <w:p>
            <w:r/>
            <w:r>
              <w:rPr>
                <w:b w:val="0"/>
                <w:sz w:val="22"/>
              </w:rPr>
              <w:t>Épreuves du titre</w:t>
            </w:r>
          </w:p>
        </w:tc>
        <w:tc>
          <w:tcPr>
            <w:tcW w:type="dxa" w:w="6803"/>
            <w:shd w:val="clear" w:color="auto" w:fill="F2F2F2"/>
          </w:tcPr>
          <w:p>
            <w:r/>
            <w:r>
              <w:rPr>
                <w:b w:val="0"/>
                <w:sz w:val="22"/>
              </w:rPr>
              <w:t>7 h 55 par candidat (mise en situation professionnelle 4 h + entretien technique 1 h 30 + questionnement à partir de productions 2 h 10 + entretien final 15 min)</w:t>
            </w:r>
          </w:p>
        </w:tc>
      </w:tr>
    </w:tbl>
    <w:p/>
    <w:p>
      <w:pPr>
        <w:pStyle w:val="Heading1"/>
      </w:pPr>
      <w:r>
        <w:t>5. Contenu (modules et volumes horaires)</w:t>
      </w:r>
    </w:p>
    <w:tbl>
      <w:tblPr>
        <w:tblStyle w:val="TableGrid"/>
        <w:tblW w:type="auto" w:w="0"/>
        <w:jc w:val="center"/>
        <w:tblLayout w:type="fixed"/>
        <w:tblLook w:firstColumn="1" w:firstRow="1" w:lastColumn="0" w:lastRow="0" w:noHBand="0" w:noVBand="1" w:val="04A0"/>
      </w:tblPr>
      <w:tblGrid>
        <w:gridCol w:w="907"/>
        <w:gridCol w:w="5670"/>
        <w:gridCol w:w="1701"/>
        <w:gridCol w:w="1247"/>
      </w:tblGrid>
      <w:tr>
        <w:trPr>
          <w:tblHeader w:val="true"/>
        </w:trPr>
        <w:tc>
          <w:tcPr>
            <w:tcW w:type="dxa" w:w="907"/>
            <w:shd w:val="clear" w:color="auto" w:fill="1B3A6B"/>
          </w:tcPr>
          <w:p>
            <w:r/>
            <w:r>
              <w:rPr>
                <w:b/>
                <w:color w:val="FFFFFF"/>
                <w:sz w:val="22"/>
              </w:rPr>
              <w:t>Code</w:t>
            </w:r>
          </w:p>
        </w:tc>
        <w:tc>
          <w:tcPr>
            <w:tcW w:type="dxa" w:w="5669"/>
            <w:shd w:val="clear" w:color="auto" w:fill="1B3A6B"/>
          </w:tcPr>
          <w:p>
            <w:r/>
            <w:r>
              <w:rPr>
                <w:b/>
                <w:color w:val="FFFFFF"/>
                <w:sz w:val="22"/>
              </w:rPr>
              <w:t>Module</w:t>
            </w:r>
          </w:p>
        </w:tc>
        <w:tc>
          <w:tcPr>
            <w:tcW w:type="dxa" w:w="1701"/>
            <w:shd w:val="clear" w:color="auto" w:fill="1B3A6B"/>
          </w:tcPr>
          <w:p>
            <w:r/>
            <w:r>
              <w:rPr>
                <w:b/>
                <w:color w:val="FFFFFF"/>
                <w:sz w:val="22"/>
              </w:rPr>
              <w:t>Bloc</w:t>
            </w:r>
          </w:p>
        </w:tc>
        <w:tc>
          <w:tcPr>
            <w:tcW w:type="dxa" w:w="1247"/>
            <w:shd w:val="clear" w:color="auto" w:fill="1B3A6B"/>
          </w:tcPr>
          <w:p>
            <w:r/>
            <w:r>
              <w:rPr>
                <w:b/>
                <w:color w:val="FFFFFF"/>
                <w:sz w:val="22"/>
              </w:rPr>
              <w:t>Heures</w:t>
            </w:r>
          </w:p>
        </w:tc>
      </w:tr>
      <w:tr>
        <w:tc>
          <w:tcPr>
            <w:tcW w:type="dxa" w:w="907"/>
          </w:tcPr>
          <w:p>
            <w:r/>
            <w:r>
              <w:rPr>
                <w:b w:val="0"/>
                <w:sz w:val="22"/>
              </w:rPr>
              <w:t>M0</w:t>
            </w:r>
          </w:p>
        </w:tc>
        <w:tc>
          <w:tcPr>
            <w:tcW w:type="dxa" w:w="5669"/>
          </w:tcPr>
          <w:p>
            <w:r/>
            <w:r>
              <w:rPr>
                <w:b w:val="0"/>
                <w:sz w:val="22"/>
              </w:rPr>
              <w:t>Accueil, intégration et positionnement</w:t>
            </w:r>
          </w:p>
        </w:tc>
        <w:tc>
          <w:tcPr>
            <w:tcW w:type="dxa" w:w="1701"/>
          </w:tcPr>
          <w:p>
            <w:r/>
            <w:r>
              <w:rPr>
                <w:b w:val="0"/>
                <w:sz w:val="22"/>
              </w:rPr>
              <w:t>Transversal</w:t>
            </w:r>
          </w:p>
        </w:tc>
        <w:tc>
          <w:tcPr>
            <w:tcW w:type="dxa" w:w="1247"/>
          </w:tcPr>
          <w:p>
            <w:r/>
            <w:r>
              <w:rPr>
                <w:b w:val="0"/>
                <w:sz w:val="22"/>
              </w:rPr>
              <w:t>14</w:t>
            </w:r>
          </w:p>
        </w:tc>
      </w:tr>
      <w:tr>
        <w:tc>
          <w:tcPr>
            <w:tcW w:type="dxa" w:w="907"/>
            <w:shd w:val="clear" w:color="auto" w:fill="F2F2F2"/>
          </w:tcPr>
          <w:p>
            <w:r/>
            <w:r>
              <w:rPr>
                <w:b w:val="0"/>
                <w:sz w:val="22"/>
              </w:rPr>
              <w:t>M1.1</w:t>
            </w:r>
          </w:p>
        </w:tc>
        <w:tc>
          <w:tcPr>
            <w:tcW w:type="dxa" w:w="5669"/>
            <w:shd w:val="clear" w:color="auto" w:fill="F2F2F2"/>
          </w:tcPr>
          <w:p>
            <w:r/>
            <w:r>
              <w:rPr>
                <w:b w:val="0"/>
                <w:sz w:val="22"/>
              </w:rPr>
              <w:t>Animer l'équipe de son périmètre</w:t>
            </w:r>
          </w:p>
        </w:tc>
        <w:tc>
          <w:tcPr>
            <w:tcW w:type="dxa" w:w="1701"/>
            <w:shd w:val="clear" w:color="auto" w:fill="F2F2F2"/>
          </w:tcPr>
          <w:p>
            <w:r/>
            <w:r>
              <w:rPr>
                <w:b w:val="0"/>
                <w:sz w:val="22"/>
              </w:rPr>
              <w:t>CCP1</w:t>
            </w:r>
          </w:p>
        </w:tc>
        <w:tc>
          <w:tcPr>
            <w:tcW w:type="dxa" w:w="1247"/>
            <w:shd w:val="clear" w:color="auto" w:fill="F2F2F2"/>
          </w:tcPr>
          <w:p>
            <w:r/>
            <w:r>
              <w:rPr>
                <w:b w:val="0"/>
                <w:sz w:val="22"/>
              </w:rPr>
              <w:t>35</w:t>
            </w:r>
          </w:p>
        </w:tc>
      </w:tr>
      <w:tr>
        <w:tc>
          <w:tcPr>
            <w:tcW w:type="dxa" w:w="907"/>
          </w:tcPr>
          <w:p>
            <w:r/>
            <w:r>
              <w:rPr>
                <w:b w:val="0"/>
                <w:sz w:val="22"/>
              </w:rPr>
              <w:t>M1.2</w:t>
            </w:r>
          </w:p>
        </w:tc>
        <w:tc>
          <w:tcPr>
            <w:tcW w:type="dxa" w:w="5669"/>
          </w:tcPr>
          <w:p>
            <w:r/>
            <w:r>
              <w:rPr>
                <w:b w:val="0"/>
                <w:sz w:val="22"/>
              </w:rPr>
              <w:t>Planifier et coordonner l'activité de l'équipe</w:t>
            </w:r>
          </w:p>
        </w:tc>
        <w:tc>
          <w:tcPr>
            <w:tcW w:type="dxa" w:w="1701"/>
          </w:tcPr>
          <w:p>
            <w:r/>
            <w:r>
              <w:rPr>
                <w:b w:val="0"/>
                <w:sz w:val="22"/>
              </w:rPr>
              <w:t>CCP1</w:t>
            </w:r>
          </w:p>
        </w:tc>
        <w:tc>
          <w:tcPr>
            <w:tcW w:type="dxa" w:w="1247"/>
          </w:tcPr>
          <w:p>
            <w:r/>
            <w:r>
              <w:rPr>
                <w:b w:val="0"/>
                <w:sz w:val="22"/>
              </w:rPr>
              <w:t>35</w:t>
            </w:r>
          </w:p>
        </w:tc>
      </w:tr>
      <w:tr>
        <w:tc>
          <w:tcPr>
            <w:tcW w:type="dxa" w:w="907"/>
            <w:shd w:val="clear" w:color="auto" w:fill="F2F2F2"/>
          </w:tcPr>
          <w:p>
            <w:r/>
            <w:r>
              <w:rPr>
                <w:b w:val="0"/>
                <w:sz w:val="22"/>
              </w:rPr>
              <w:t>M1.3</w:t>
            </w:r>
          </w:p>
        </w:tc>
        <w:tc>
          <w:tcPr>
            <w:tcW w:type="dxa" w:w="5669"/>
            <w:shd w:val="clear" w:color="auto" w:fill="F2F2F2"/>
          </w:tcPr>
          <w:p>
            <w:r/>
            <w:r>
              <w:rPr>
                <w:b w:val="0"/>
                <w:sz w:val="22"/>
              </w:rPr>
              <w:t>Accompagner la performance individuelle des collaborateurs</w:t>
            </w:r>
          </w:p>
        </w:tc>
        <w:tc>
          <w:tcPr>
            <w:tcW w:type="dxa" w:w="1701"/>
            <w:shd w:val="clear" w:color="auto" w:fill="F2F2F2"/>
          </w:tcPr>
          <w:p>
            <w:r/>
            <w:r>
              <w:rPr>
                <w:b w:val="0"/>
                <w:sz w:val="22"/>
              </w:rPr>
              <w:t>CCP1</w:t>
            </w:r>
          </w:p>
        </w:tc>
        <w:tc>
          <w:tcPr>
            <w:tcW w:type="dxa" w:w="1247"/>
            <w:shd w:val="clear" w:color="auto" w:fill="F2F2F2"/>
          </w:tcPr>
          <w:p>
            <w:r/>
            <w:r>
              <w:rPr>
                <w:b w:val="0"/>
                <w:sz w:val="22"/>
              </w:rPr>
              <w:t>35</w:t>
            </w:r>
          </w:p>
        </w:tc>
      </w:tr>
      <w:tr>
        <w:tc>
          <w:tcPr>
            <w:tcW w:type="dxa" w:w="907"/>
          </w:tcPr>
          <w:p>
            <w:r/>
            <w:r>
              <w:rPr>
                <w:b w:val="0"/>
                <w:sz w:val="22"/>
              </w:rPr>
              <w:t>M1.4</w:t>
            </w:r>
          </w:p>
        </w:tc>
        <w:tc>
          <w:tcPr>
            <w:tcW w:type="dxa" w:w="5669"/>
          </w:tcPr>
          <w:p>
            <w:r/>
            <w:r>
              <w:rPr>
                <w:b w:val="0"/>
                <w:sz w:val="22"/>
              </w:rPr>
              <w:t>Contribuer au recrutement et à l'intégration</w:t>
            </w:r>
          </w:p>
        </w:tc>
        <w:tc>
          <w:tcPr>
            <w:tcW w:type="dxa" w:w="1701"/>
          </w:tcPr>
          <w:p>
            <w:r/>
            <w:r>
              <w:rPr>
                <w:b w:val="0"/>
                <w:sz w:val="22"/>
              </w:rPr>
              <w:t>CCP1</w:t>
            </w:r>
          </w:p>
        </w:tc>
        <w:tc>
          <w:tcPr>
            <w:tcW w:type="dxa" w:w="1247"/>
          </w:tcPr>
          <w:p>
            <w:r/>
            <w:r>
              <w:rPr>
                <w:b w:val="0"/>
                <w:sz w:val="22"/>
              </w:rPr>
              <w:t>35</w:t>
            </w:r>
          </w:p>
        </w:tc>
      </w:tr>
      <w:tr>
        <w:tc>
          <w:tcPr>
            <w:tcW w:type="dxa" w:w="907"/>
            <w:shd w:val="clear" w:color="auto" w:fill="F2F2F2"/>
          </w:tcPr>
          <w:p>
            <w:r/>
            <w:r>
              <w:rPr>
                <w:b w:val="0"/>
                <w:sz w:val="22"/>
              </w:rPr>
              <w:t>M2.1</w:t>
            </w:r>
          </w:p>
        </w:tc>
        <w:tc>
          <w:tcPr>
            <w:tcW w:type="dxa" w:w="5669"/>
            <w:shd w:val="clear" w:color="auto" w:fill="F2F2F2"/>
          </w:tcPr>
          <w:p>
            <w:r/>
            <w:r>
              <w:rPr>
                <w:b w:val="0"/>
                <w:sz w:val="22"/>
              </w:rPr>
              <w:t>Gérer l'approvisionnement de son périmètre</w:t>
            </w:r>
          </w:p>
        </w:tc>
        <w:tc>
          <w:tcPr>
            <w:tcW w:type="dxa" w:w="1701"/>
            <w:shd w:val="clear" w:color="auto" w:fill="F2F2F2"/>
          </w:tcPr>
          <w:p>
            <w:r/>
            <w:r>
              <w:rPr>
                <w:b w:val="0"/>
                <w:sz w:val="22"/>
              </w:rPr>
              <w:t>CCP2</w:t>
            </w:r>
          </w:p>
        </w:tc>
        <w:tc>
          <w:tcPr>
            <w:tcW w:type="dxa" w:w="1247"/>
            <w:shd w:val="clear" w:color="auto" w:fill="F2F2F2"/>
          </w:tcPr>
          <w:p>
            <w:r/>
            <w:r>
              <w:rPr>
                <w:b w:val="0"/>
                <w:sz w:val="22"/>
              </w:rPr>
              <w:t>49</w:t>
            </w:r>
          </w:p>
        </w:tc>
      </w:tr>
      <w:tr>
        <w:tc>
          <w:tcPr>
            <w:tcW w:type="dxa" w:w="907"/>
          </w:tcPr>
          <w:p>
            <w:r/>
            <w:r>
              <w:rPr>
                <w:b w:val="0"/>
                <w:sz w:val="22"/>
              </w:rPr>
              <w:t>M2.2</w:t>
            </w:r>
          </w:p>
        </w:tc>
        <w:tc>
          <w:tcPr>
            <w:tcW w:type="dxa" w:w="5669"/>
          </w:tcPr>
          <w:p>
            <w:r/>
            <w:r>
              <w:rPr>
                <w:b w:val="0"/>
                <w:sz w:val="22"/>
              </w:rPr>
              <w:t>Organiser et mettre en œuvre le merchandising</w:t>
            </w:r>
          </w:p>
        </w:tc>
        <w:tc>
          <w:tcPr>
            <w:tcW w:type="dxa" w:w="1701"/>
          </w:tcPr>
          <w:p>
            <w:r/>
            <w:r>
              <w:rPr>
                <w:b w:val="0"/>
                <w:sz w:val="22"/>
              </w:rPr>
              <w:t>CCP2</w:t>
            </w:r>
          </w:p>
        </w:tc>
        <w:tc>
          <w:tcPr>
            <w:tcW w:type="dxa" w:w="1247"/>
          </w:tcPr>
          <w:p>
            <w:r/>
            <w:r>
              <w:rPr>
                <w:b w:val="0"/>
                <w:sz w:val="22"/>
              </w:rPr>
              <w:t>56</w:t>
            </w:r>
          </w:p>
        </w:tc>
      </w:tr>
      <w:tr>
        <w:tc>
          <w:tcPr>
            <w:tcW w:type="dxa" w:w="907"/>
            <w:shd w:val="clear" w:color="auto" w:fill="F2F2F2"/>
          </w:tcPr>
          <w:p>
            <w:r/>
            <w:r>
              <w:rPr>
                <w:b w:val="0"/>
                <w:sz w:val="22"/>
              </w:rPr>
              <w:t>M2.3</w:t>
            </w:r>
          </w:p>
        </w:tc>
        <w:tc>
          <w:tcPr>
            <w:tcW w:type="dxa" w:w="5669"/>
            <w:shd w:val="clear" w:color="auto" w:fill="F2F2F2"/>
          </w:tcPr>
          <w:p>
            <w:r/>
            <w:r>
              <w:rPr>
                <w:b w:val="0"/>
                <w:sz w:val="22"/>
              </w:rPr>
              <w:t>Participer à l'amélioration de l'expérience client</w:t>
            </w:r>
          </w:p>
        </w:tc>
        <w:tc>
          <w:tcPr>
            <w:tcW w:type="dxa" w:w="1701"/>
            <w:shd w:val="clear" w:color="auto" w:fill="F2F2F2"/>
          </w:tcPr>
          <w:p>
            <w:r/>
            <w:r>
              <w:rPr>
                <w:b w:val="0"/>
                <w:sz w:val="22"/>
              </w:rPr>
              <w:t>CCP2</w:t>
            </w:r>
          </w:p>
        </w:tc>
        <w:tc>
          <w:tcPr>
            <w:tcW w:type="dxa" w:w="1247"/>
            <w:shd w:val="clear" w:color="auto" w:fill="F2F2F2"/>
          </w:tcPr>
          <w:p>
            <w:r/>
            <w:r>
              <w:rPr>
                <w:b w:val="0"/>
                <w:sz w:val="22"/>
              </w:rPr>
              <w:t>49</w:t>
            </w:r>
          </w:p>
        </w:tc>
      </w:tr>
      <w:tr>
        <w:tc>
          <w:tcPr>
            <w:tcW w:type="dxa" w:w="907"/>
          </w:tcPr>
          <w:p>
            <w:r/>
            <w:r>
              <w:rPr>
                <w:b w:val="0"/>
                <w:sz w:val="22"/>
              </w:rPr>
              <w:t>M3.1</w:t>
            </w:r>
          </w:p>
        </w:tc>
        <w:tc>
          <w:tcPr>
            <w:tcW w:type="dxa" w:w="5669"/>
          </w:tcPr>
          <w:p>
            <w:r/>
            <w:r>
              <w:rPr>
                <w:b w:val="0"/>
                <w:sz w:val="22"/>
              </w:rPr>
              <w:t>Analyser la performance commerciale de son périmètre</w:t>
            </w:r>
          </w:p>
        </w:tc>
        <w:tc>
          <w:tcPr>
            <w:tcW w:type="dxa" w:w="1701"/>
          </w:tcPr>
          <w:p>
            <w:r/>
            <w:r>
              <w:rPr>
                <w:b w:val="0"/>
                <w:sz w:val="22"/>
              </w:rPr>
              <w:t>CCP3</w:t>
            </w:r>
          </w:p>
        </w:tc>
        <w:tc>
          <w:tcPr>
            <w:tcW w:type="dxa" w:w="1247"/>
          </w:tcPr>
          <w:p>
            <w:r/>
            <w:r>
              <w:rPr>
                <w:b w:val="0"/>
                <w:sz w:val="22"/>
              </w:rPr>
              <w:t>42</w:t>
            </w:r>
          </w:p>
        </w:tc>
      </w:tr>
      <w:tr>
        <w:tc>
          <w:tcPr>
            <w:tcW w:type="dxa" w:w="907"/>
            <w:shd w:val="clear" w:color="auto" w:fill="F2F2F2"/>
          </w:tcPr>
          <w:p>
            <w:r/>
            <w:r>
              <w:rPr>
                <w:b w:val="0"/>
                <w:sz w:val="22"/>
              </w:rPr>
              <w:t>M3.2</w:t>
            </w:r>
          </w:p>
        </w:tc>
        <w:tc>
          <w:tcPr>
            <w:tcW w:type="dxa" w:w="5669"/>
            <w:shd w:val="clear" w:color="auto" w:fill="F2F2F2"/>
          </w:tcPr>
          <w:p>
            <w:r/>
            <w:r>
              <w:rPr>
                <w:b w:val="0"/>
                <w:sz w:val="22"/>
              </w:rPr>
              <w:t>Analyser la rentabilité de son périmètre</w:t>
            </w:r>
          </w:p>
        </w:tc>
        <w:tc>
          <w:tcPr>
            <w:tcW w:type="dxa" w:w="1701"/>
            <w:shd w:val="clear" w:color="auto" w:fill="F2F2F2"/>
          </w:tcPr>
          <w:p>
            <w:r/>
            <w:r>
              <w:rPr>
                <w:b w:val="0"/>
                <w:sz w:val="22"/>
              </w:rPr>
              <w:t>CCP3</w:t>
            </w:r>
          </w:p>
        </w:tc>
        <w:tc>
          <w:tcPr>
            <w:tcW w:type="dxa" w:w="1247"/>
            <w:shd w:val="clear" w:color="auto" w:fill="F2F2F2"/>
          </w:tcPr>
          <w:p>
            <w:r/>
            <w:r>
              <w:rPr>
                <w:b w:val="0"/>
                <w:sz w:val="22"/>
              </w:rPr>
              <w:t>42</w:t>
            </w:r>
          </w:p>
        </w:tc>
      </w:tr>
      <w:tr>
        <w:tc>
          <w:tcPr>
            <w:tcW w:type="dxa" w:w="907"/>
          </w:tcPr>
          <w:p>
            <w:r/>
            <w:r>
              <w:rPr>
                <w:b w:val="0"/>
                <w:sz w:val="22"/>
              </w:rPr>
              <w:t>M3.3</w:t>
            </w:r>
          </w:p>
        </w:tc>
        <w:tc>
          <w:tcPr>
            <w:tcW w:type="dxa" w:w="5669"/>
          </w:tcPr>
          <w:p>
            <w:r/>
            <w:r>
              <w:rPr>
                <w:b w:val="0"/>
                <w:sz w:val="22"/>
              </w:rPr>
              <w:t>Proposer des actions correctives et suivre le plan d'actions</w:t>
            </w:r>
          </w:p>
        </w:tc>
        <w:tc>
          <w:tcPr>
            <w:tcW w:type="dxa" w:w="1701"/>
          </w:tcPr>
          <w:p>
            <w:r/>
            <w:r>
              <w:rPr>
                <w:b w:val="0"/>
                <w:sz w:val="22"/>
              </w:rPr>
              <w:t>CCP3</w:t>
            </w:r>
          </w:p>
        </w:tc>
        <w:tc>
          <w:tcPr>
            <w:tcW w:type="dxa" w:w="1247"/>
          </w:tcPr>
          <w:p>
            <w:r/>
            <w:r>
              <w:rPr>
                <w:b w:val="0"/>
                <w:sz w:val="22"/>
              </w:rPr>
              <w:t>42</w:t>
            </w:r>
          </w:p>
        </w:tc>
      </w:tr>
      <w:tr>
        <w:tc>
          <w:tcPr>
            <w:tcW w:type="dxa" w:w="907"/>
            <w:shd w:val="clear" w:color="auto" w:fill="F2F2F2"/>
          </w:tcPr>
          <w:p>
            <w:r/>
            <w:r>
              <w:rPr>
                <w:b w:val="0"/>
                <w:sz w:val="22"/>
              </w:rPr>
              <w:t>T1</w:t>
            </w:r>
          </w:p>
        </w:tc>
        <w:tc>
          <w:tcPr>
            <w:tcW w:type="dxa" w:w="5669"/>
            <w:shd w:val="clear" w:color="auto" w:fill="F2F2F2"/>
          </w:tcPr>
          <w:p>
            <w:r/>
            <w:r>
              <w:rPr>
                <w:b w:val="0"/>
                <w:sz w:val="22"/>
              </w:rPr>
              <w:t>IA appliquée au management et au commerce (module distinctif YEBA)</w:t>
            </w:r>
          </w:p>
        </w:tc>
        <w:tc>
          <w:tcPr>
            <w:tcW w:type="dxa" w:w="1701"/>
            <w:shd w:val="clear" w:color="auto" w:fill="F2F2F2"/>
          </w:tcPr>
          <w:p>
            <w:r/>
            <w:r>
              <w:rPr>
                <w:b w:val="0"/>
                <w:sz w:val="22"/>
              </w:rPr>
              <w:t>Transversal</w:t>
            </w:r>
          </w:p>
        </w:tc>
        <w:tc>
          <w:tcPr>
            <w:tcW w:type="dxa" w:w="1247"/>
            <w:shd w:val="clear" w:color="auto" w:fill="F2F2F2"/>
          </w:tcPr>
          <w:p>
            <w:r/>
            <w:r>
              <w:rPr>
                <w:b w:val="0"/>
                <w:sz w:val="22"/>
              </w:rPr>
              <w:t>42</w:t>
            </w:r>
          </w:p>
        </w:tc>
      </w:tr>
      <w:tr>
        <w:tc>
          <w:tcPr>
            <w:tcW w:type="dxa" w:w="907"/>
          </w:tcPr>
          <w:p>
            <w:r/>
            <w:r>
              <w:rPr>
                <w:b w:val="0"/>
                <w:sz w:val="22"/>
              </w:rPr>
              <w:t>T2</w:t>
            </w:r>
          </w:p>
        </w:tc>
        <w:tc>
          <w:tcPr>
            <w:tcW w:type="dxa" w:w="5669"/>
          </w:tcPr>
          <w:p>
            <w:r/>
            <w:r>
              <w:rPr>
                <w:b w:val="0"/>
                <w:sz w:val="22"/>
              </w:rPr>
              <w:t>Bureautique et tableur pour les épreuves</w:t>
            </w:r>
          </w:p>
        </w:tc>
        <w:tc>
          <w:tcPr>
            <w:tcW w:type="dxa" w:w="1701"/>
          </w:tcPr>
          <w:p>
            <w:r/>
            <w:r>
              <w:rPr>
                <w:b w:val="0"/>
                <w:sz w:val="22"/>
              </w:rPr>
              <w:t>Transversal</w:t>
            </w:r>
          </w:p>
        </w:tc>
        <w:tc>
          <w:tcPr>
            <w:tcW w:type="dxa" w:w="1247"/>
          </w:tcPr>
          <w:p>
            <w:r/>
            <w:r>
              <w:rPr>
                <w:b w:val="0"/>
                <w:sz w:val="22"/>
              </w:rPr>
              <w:t>21</w:t>
            </w:r>
          </w:p>
        </w:tc>
      </w:tr>
      <w:tr>
        <w:tc>
          <w:tcPr>
            <w:tcW w:type="dxa" w:w="907"/>
            <w:shd w:val="clear" w:color="auto" w:fill="F2F2F2"/>
          </w:tcPr>
          <w:p>
            <w:r/>
            <w:r>
              <w:rPr>
                <w:b w:val="0"/>
                <w:sz w:val="22"/>
              </w:rPr>
              <w:t>T3</w:t>
            </w:r>
          </w:p>
        </w:tc>
        <w:tc>
          <w:tcPr>
            <w:tcW w:type="dxa" w:w="5669"/>
            <w:shd w:val="clear" w:color="auto" w:fill="F2F2F2"/>
          </w:tcPr>
          <w:p>
            <w:r/>
            <w:r>
              <w:rPr>
                <w:b w:val="0"/>
                <w:sz w:val="22"/>
              </w:rPr>
              <w:t>Dossier professionnel et productions pour l'examen</w:t>
            </w:r>
          </w:p>
        </w:tc>
        <w:tc>
          <w:tcPr>
            <w:tcW w:type="dxa" w:w="1701"/>
            <w:shd w:val="clear" w:color="auto" w:fill="F2F2F2"/>
          </w:tcPr>
          <w:p>
            <w:r/>
            <w:r>
              <w:rPr>
                <w:b w:val="0"/>
                <w:sz w:val="22"/>
              </w:rPr>
              <w:t>Transversal</w:t>
            </w:r>
          </w:p>
        </w:tc>
        <w:tc>
          <w:tcPr>
            <w:tcW w:type="dxa" w:w="1247"/>
            <w:shd w:val="clear" w:color="auto" w:fill="F2F2F2"/>
          </w:tcPr>
          <w:p>
            <w:r/>
            <w:r>
              <w:rPr>
                <w:b w:val="0"/>
                <w:sz w:val="22"/>
              </w:rPr>
              <w:t>21</w:t>
            </w:r>
          </w:p>
        </w:tc>
      </w:tr>
      <w:tr>
        <w:tc>
          <w:tcPr>
            <w:tcW w:type="dxa" w:w="907"/>
          </w:tcPr>
          <w:p>
            <w:r/>
            <w:r>
              <w:rPr>
                <w:b w:val="0"/>
                <w:sz w:val="22"/>
              </w:rPr>
              <w:t>T4</w:t>
            </w:r>
          </w:p>
        </w:tc>
        <w:tc>
          <w:tcPr>
            <w:tcW w:type="dxa" w:w="5669"/>
          </w:tcPr>
          <w:p>
            <w:r/>
            <w:r>
              <w:rPr>
                <w:b w:val="0"/>
                <w:sz w:val="22"/>
              </w:rPr>
              <w:t>Préparation de la période en entreprise et recherche d'emploi</w:t>
            </w:r>
          </w:p>
        </w:tc>
        <w:tc>
          <w:tcPr>
            <w:tcW w:type="dxa" w:w="1701"/>
          </w:tcPr>
          <w:p>
            <w:r/>
            <w:r>
              <w:rPr>
                <w:b w:val="0"/>
                <w:sz w:val="22"/>
              </w:rPr>
              <w:t>Transversal</w:t>
            </w:r>
          </w:p>
        </w:tc>
        <w:tc>
          <w:tcPr>
            <w:tcW w:type="dxa" w:w="1247"/>
          </w:tcPr>
          <w:p>
            <w:r/>
            <w:r>
              <w:rPr>
                <w:b w:val="0"/>
                <w:sz w:val="22"/>
              </w:rPr>
              <w:t>14</w:t>
            </w:r>
          </w:p>
        </w:tc>
      </w:tr>
      <w:tr>
        <w:tc>
          <w:tcPr>
            <w:tcW w:type="dxa" w:w="907"/>
            <w:shd w:val="clear" w:color="auto" w:fill="F2F2F2"/>
          </w:tcPr>
          <w:p>
            <w:r/>
            <w:r>
              <w:rPr>
                <w:b w:val="0"/>
                <w:sz w:val="22"/>
              </w:rPr>
              <w:t>T5</w:t>
            </w:r>
          </w:p>
        </w:tc>
        <w:tc>
          <w:tcPr>
            <w:tcW w:type="dxa" w:w="5669"/>
            <w:shd w:val="clear" w:color="auto" w:fill="F2F2F2"/>
          </w:tcPr>
          <w:p>
            <w:r/>
            <w:r>
              <w:rPr>
                <w:b w:val="0"/>
                <w:sz w:val="22"/>
              </w:rPr>
              <w:t>Entraînement aux épreuves du titre</w:t>
            </w:r>
          </w:p>
        </w:tc>
        <w:tc>
          <w:tcPr>
            <w:tcW w:type="dxa" w:w="1701"/>
            <w:shd w:val="clear" w:color="auto" w:fill="F2F2F2"/>
          </w:tcPr>
          <w:p>
            <w:r/>
            <w:r>
              <w:rPr>
                <w:b w:val="0"/>
                <w:sz w:val="22"/>
              </w:rPr>
              <w:t>Transversal</w:t>
            </w:r>
          </w:p>
        </w:tc>
        <w:tc>
          <w:tcPr>
            <w:tcW w:type="dxa" w:w="1247"/>
            <w:shd w:val="clear" w:color="auto" w:fill="F2F2F2"/>
          </w:tcPr>
          <w:p>
            <w:r/>
            <w:r>
              <w:rPr>
                <w:b w:val="0"/>
                <w:sz w:val="22"/>
              </w:rPr>
              <w:t>21</w:t>
            </w:r>
          </w:p>
        </w:tc>
      </w:tr>
      <w:tr>
        <w:tc>
          <w:tcPr>
            <w:tcW w:type="dxa" w:w="907"/>
          </w:tcPr>
          <w:p>
            <w:r/>
            <w:r>
              <w:rPr>
                <w:b w:val="0"/>
                <w:sz w:val="22"/>
              </w:rPr>
              <w:t>T6</w:t>
            </w:r>
          </w:p>
        </w:tc>
        <w:tc>
          <w:tcPr>
            <w:tcW w:type="dxa" w:w="5669"/>
          </w:tcPr>
          <w:p>
            <w:r/>
            <w:r>
              <w:rPr>
                <w:b w:val="0"/>
                <w:sz w:val="22"/>
              </w:rPr>
              <w:t>Suivi individuel et prévention du décrochage</w:t>
            </w:r>
          </w:p>
        </w:tc>
        <w:tc>
          <w:tcPr>
            <w:tcW w:type="dxa" w:w="1701"/>
          </w:tcPr>
          <w:p>
            <w:r/>
            <w:r>
              <w:rPr>
                <w:b w:val="0"/>
                <w:sz w:val="22"/>
              </w:rPr>
              <w:t>Transversal</w:t>
            </w:r>
          </w:p>
        </w:tc>
        <w:tc>
          <w:tcPr>
            <w:tcW w:type="dxa" w:w="1247"/>
          </w:tcPr>
          <w:p>
            <w:r/>
            <w:r>
              <w:rPr>
                <w:b w:val="0"/>
                <w:sz w:val="22"/>
              </w:rPr>
              <w:t>7</w:t>
            </w:r>
          </w:p>
        </w:tc>
      </w:tr>
      <w:tr>
        <w:tc>
          <w:tcPr>
            <w:tcW w:type="dxa" w:w="907"/>
            <w:shd w:val="clear" w:color="auto" w:fill="F2F2F2"/>
          </w:tcPr>
          <w:p>
            <w:r/>
          </w:p>
        </w:tc>
        <w:tc>
          <w:tcPr>
            <w:tcW w:type="dxa" w:w="5669"/>
            <w:shd w:val="clear" w:color="auto" w:fill="F2F2F2"/>
          </w:tcPr>
          <w:p>
            <w:r/>
            <w:r>
              <w:rPr>
                <w:b/>
                <w:sz w:val="22"/>
              </w:rPr>
              <w:t>Total en centre</w:t>
            </w:r>
          </w:p>
        </w:tc>
        <w:tc>
          <w:tcPr>
            <w:tcW w:type="dxa" w:w="1701"/>
            <w:shd w:val="clear" w:color="auto" w:fill="F2F2F2"/>
          </w:tcPr>
          <w:p>
            <w:r/>
          </w:p>
        </w:tc>
        <w:tc>
          <w:tcPr>
            <w:tcW w:type="dxa" w:w="1247"/>
            <w:shd w:val="clear" w:color="auto" w:fill="F2F2F2"/>
          </w:tcPr>
          <w:p>
            <w:r/>
            <w:r>
              <w:rPr>
                <w:b/>
                <w:sz w:val="22"/>
              </w:rPr>
              <w:t>560</w:t>
            </w:r>
          </w:p>
        </w:tc>
      </w:tr>
      <w:tr>
        <w:tc>
          <w:tcPr>
            <w:tcW w:type="dxa" w:w="907"/>
          </w:tcPr>
          <w:p>
            <w:r/>
            <w:r>
              <w:rPr>
                <w:b w:val="0"/>
                <w:sz w:val="22"/>
              </w:rPr>
              <w:t>PAE</w:t>
            </w:r>
          </w:p>
        </w:tc>
        <w:tc>
          <w:tcPr>
            <w:tcW w:type="dxa" w:w="5669"/>
          </w:tcPr>
          <w:p>
            <w:r/>
            <w:r>
              <w:rPr>
                <w:b w:val="0"/>
                <w:sz w:val="22"/>
              </w:rPr>
              <w:t>Période en entreprise</w:t>
            </w:r>
          </w:p>
        </w:tc>
        <w:tc>
          <w:tcPr>
            <w:tcW w:type="dxa" w:w="1701"/>
          </w:tcPr>
          <w:p>
            <w:r/>
            <w:r>
              <w:rPr>
                <w:b w:val="0"/>
                <w:sz w:val="22"/>
              </w:rPr>
              <w:t>Tous</w:t>
            </w:r>
          </w:p>
        </w:tc>
        <w:tc>
          <w:tcPr>
            <w:tcW w:type="dxa" w:w="1247"/>
          </w:tcPr>
          <w:p>
            <w:r/>
            <w:r>
              <w:rPr>
                <w:b w:val="0"/>
                <w:sz w:val="22"/>
              </w:rPr>
              <w:t>280</w:t>
            </w:r>
          </w:p>
        </w:tc>
      </w:tr>
    </w:tbl>
    <w:p/>
    <w:p>
      <w:pPr>
        <w:pStyle w:val="Heading1"/>
      </w:pPr>
      <w:r>
        <w:t>6. Méthodes et moyens pédagogiques</w:t>
      </w:r>
    </w:p>
    <w:p>
      <w:pPr>
        <w:pStyle w:val="ListBullet"/>
      </w:pPr>
      <w:r>
        <w:rPr>
          <w:b w:val="0"/>
        </w:rPr>
        <w:t>Pédagogie active : études de cas réunionnais, jeux de rôle, simulations, ateliers en sous-groupes, classe inversée.</w:t>
      </w:r>
    </w:p>
    <w:p>
      <w:pPr>
        <w:pStyle w:val="ListBullet"/>
      </w:pPr>
      <w:r>
        <w:rPr>
          <w:b w:val="0"/>
        </w:rPr>
        <w:t>Projet fil rouge relié à la période en entreprise.</w:t>
      </w:r>
    </w:p>
    <w:p>
      <w:pPr>
        <w:pStyle w:val="ListBullet"/>
      </w:pPr>
      <w:r>
        <w:rPr>
          <w:b w:val="0"/>
        </w:rPr>
        <w:t>Supports projetés en gros caractères, contrastés, transmis en version numérique accessible.</w:t>
      </w:r>
    </w:p>
    <w:p>
      <w:pPr>
        <w:pStyle w:val="ListBullet"/>
      </w:pPr>
      <w:r>
        <w:rPr>
          <w:b w:val="0"/>
        </w:rPr>
        <w:t xml:space="preserve">Salle équipée : </w:t>
      </w:r>
      <w:r>
        <w:rPr>
          <w:b w:val="0"/>
          <w:highlight w:val="yellow"/>
        </w:rPr>
        <w:t>[À COMPLÉTER : postes informatiques, vidéoprojecteur, connexion, logiciels bureautiques]</w:t>
      </w:r>
      <w:r>
        <w:rPr>
          <w:b w:val="0"/>
        </w:rPr>
        <w:t>.</w:t>
      </w:r>
    </w:p>
    <w:p>
      <w:pPr>
        <w:pStyle w:val="ListBullet"/>
      </w:pPr>
      <w:r>
        <w:rPr>
          <w:b w:val="0"/>
        </w:rPr>
        <w:t>Formateurs : professionnels du management, du commerce et de la gestion — CV et justificatifs tenus à disposition (Qualiopi indicateur 21).</w:t>
      </w:r>
    </w:p>
    <w:p>
      <w:pPr>
        <w:pStyle w:val="Heading1"/>
      </w:pPr>
      <w:r>
        <w:t>7. Modalités d'évaluation et de validation</w:t>
      </w:r>
    </w:p>
    <w:p>
      <w:pPr>
        <w:pStyle w:val="ListBullet"/>
      </w:pPr>
      <w:r>
        <w:rPr>
          <w:b w:val="0"/>
        </w:rPr>
        <w:t>Positionnement à l'entrée (non éliminatoire), évaluations formatives à la fin de chaque module (grilles critériées), épreuves blanches.</w:t>
      </w:r>
    </w:p>
    <w:p>
      <w:pPr>
        <w:pStyle w:val="ListBullet"/>
      </w:pPr>
      <w:r>
        <w:rPr>
          <w:b w:val="0"/>
        </w:rPr>
        <w:t>Session de validation organisée selon l'arrêté du 22 décembre 2015 modifié : 7 h 55 par candidat (mise en situation professionnelle 4 h + entretien technique 1 h 30 + questionnement à partir de productions 2 h 10 + entretien final 15 min).</w:t>
      </w:r>
    </w:p>
    <w:p>
      <w:pPr>
        <w:pStyle w:val="ListBullet"/>
      </w:pPr>
      <w:r>
        <w:rPr>
          <w:b w:val="0"/>
        </w:rPr>
        <w:t>Validation totale (titre) ou partielle (un ou plusieurs CCP capitalisables, sans limite de durée de validité dans le cadre du titre en vigueur).</w:t>
      </w:r>
    </w:p>
    <w:p>
      <w:pPr>
        <w:pStyle w:val="ListBullet"/>
      </w:pPr>
      <w:r>
        <w:rPr>
          <w:b w:val="0"/>
        </w:rPr>
        <w:t>Délivrance : titre ou CCP délivré par le ministère chargé de l'emploi ; attestation de fin de formation et certificat de réalisation remis par l'organisme.</w:t>
      </w:r>
    </w:p>
    <w:p>
      <w:pPr>
        <w:pStyle w:val="Heading1"/>
      </w:pPr>
      <w:r>
        <w:t>8. Financements possibles</w:t>
      </w:r>
    </w:p>
    <w:p>
      <w:pPr>
        <w:pStyle w:val="ListBullet"/>
      </w:pPr>
      <w:r>
        <w:rPr>
          <w:b w:val="0"/>
        </w:rPr>
        <w:t>Compte personnel de formation (CPF) — titre éligible par principe (certification RNCP).</w:t>
      </w:r>
    </w:p>
    <w:p>
      <w:pPr>
        <w:pStyle w:val="ListBullet"/>
      </w:pPr>
      <w:r>
        <w:rPr>
          <w:b w:val="0"/>
        </w:rPr>
        <w:t>France Travail : aide individuelle à la formation (AIF), action de formation conventionnée, préparation opérationnelle à l'emploi (POEI / POEC).</w:t>
      </w:r>
    </w:p>
    <w:p>
      <w:pPr>
        <w:pStyle w:val="ListBullet"/>
      </w:pPr>
      <w:r>
        <w:rPr>
          <w:b w:val="0"/>
        </w:rPr>
        <w:t xml:space="preserve">Région Réunion : programme régional de formation des demandeurs d'emploi </w:t>
      </w:r>
      <w:r>
        <w:rPr>
          <w:b w:val="0"/>
          <w:highlight w:val="yellow"/>
        </w:rPr>
        <w:t>[À VÉRIFIER : marché ou dispositif ouvert en 2026-2027]</w:t>
      </w:r>
      <w:r>
        <w:rPr>
          <w:b w:val="0"/>
        </w:rPr>
        <w:t>.</w:t>
      </w:r>
    </w:p>
    <w:p>
      <w:pPr>
        <w:pStyle w:val="ListBullet"/>
      </w:pPr>
      <w:r>
        <w:rPr>
          <w:b w:val="0"/>
        </w:rPr>
        <w:t>OPCO de l'employeur : plan de développement des compétences, Pro-A, contrat de professionnalisation.</w:t>
      </w:r>
    </w:p>
    <w:p>
      <w:pPr>
        <w:pStyle w:val="ListBullet"/>
      </w:pPr>
      <w:r>
        <w:rPr>
          <w:b w:val="0"/>
        </w:rPr>
        <w:t>Transitions Pro Réunion : projet de transition professionnelle (PTP).</w:t>
      </w:r>
    </w:p>
    <w:p>
      <w:pPr>
        <w:pStyle w:val="ListBullet"/>
      </w:pPr>
      <w:r>
        <w:rPr>
          <w:b w:val="0"/>
        </w:rPr>
        <w:t>Agefiph : aides complémentaires pour les personnes en situation de handicap.</w:t>
      </w:r>
    </w:p>
    <w:p>
      <w:r>
        <w:rPr>
          <w:b w:val="0"/>
        </w:rPr>
        <w:t xml:space="preserve">Tarif : </w:t>
      </w:r>
      <w:r>
        <w:rPr>
          <w:b w:val="0"/>
          <w:highlight w:val="yellow"/>
        </w:rPr>
        <w:t>[À COMPLÉTER : prix total TTC/exonéré ; prix par CCP ; coût horaire]</w:t>
      </w:r>
      <w:r>
        <w:rPr>
          <w:b w:val="0"/>
        </w:rPr>
        <w:t xml:space="preserve">. Exonération de TVA : </w:t>
      </w:r>
      <w:r>
        <w:rPr>
          <w:b w:val="0"/>
          <w:highlight w:val="yellow"/>
        </w:rPr>
        <w:t>[À VÉRIFIER : attestation d'exonération TVA formation professionnelle (art. 261-4-4° du CGI)]</w:t>
      </w:r>
      <w:r>
        <w:rPr>
          <w:b w:val="0"/>
        </w:rPr>
        <w:t>.</w:t>
      </w:r>
    </w:p>
    <w:p>
      <w:pPr>
        <w:pStyle w:val="Heading1"/>
      </w:pPr>
      <w:r>
        <w:t>9. Accessibilité et handicap</w:t>
      </w:r>
    </w:p>
    <w:p>
      <w:r>
        <w:rPr>
          <w:b w:val="0"/>
        </w:rPr>
        <w:t xml:space="preserve">Référent handicap : Aurélien LUMEKA (référent handicap certifié) — </w:t>
      </w:r>
      <w:r>
        <w:rPr>
          <w:b w:val="0"/>
          <w:highlight w:val="yellow"/>
        </w:rPr>
        <w:t>[À COMPLÉTER : téléphone]</w:t>
      </w:r>
      <w:r>
        <w:rPr>
          <w:b w:val="0"/>
        </w:rPr>
        <w:t>. Entretien confidentiel avant l'entrée pour étudier les aménagements (rythme, supports agrandis, temps majoré aux épreuves selon la réglementation des titres professionnels, matériel adapté), en lien avec l'Agefiph, Cap emploi et la MDPH.</w:t>
      </w:r>
    </w:p>
    <w:p>
      <w:pPr>
        <w:pStyle w:val="Heading1"/>
      </w:pPr>
      <w:r>
        <w:t>10. Débouchés, suites de parcours et résultats</w:t>
      </w:r>
    </w:p>
    <w:p>
      <w:r>
        <w:rPr>
          <w:b w:val="0"/>
        </w:rPr>
        <w:t>Emplois visés : Manager de rayon, chef de rayon, responsable de boutique / de magasin / de point de vente, manager de surface de vente, gérant de magasin, responsable de département.</w:t>
      </w:r>
    </w:p>
    <w:p>
      <w:r>
        <w:rPr>
          <w:b w:val="0"/>
        </w:rPr>
        <w:t>Indicateurs nationaux : Taux d'insertion global à 6 mois : 76 % (2024) — 78 % (2023) ; dans le métier visé à 6 mois : 65 % (2024) — source : fiche RNCP41853, statistiques de l'ancienne version RNCP38676.</w:t>
      </w:r>
    </w:p>
    <w:p>
      <w:r>
        <w:rPr>
          <w:b w:val="0"/>
        </w:rPr>
        <w:t xml:space="preserve">Indicateurs YEBA FORMATIONS (publiés et mis à jour après chaque session — Qualiopi indicateur 2) : taux de satisfaction, taux d'abandon, taux de réussite au titre, taux d'insertion à 6 mois : </w:t>
      </w:r>
      <w:r>
        <w:rPr>
          <w:b w:val="0"/>
          <w:highlight w:val="yellow"/>
        </w:rPr>
        <w:t>[À COMPLÉTER après la 1re session — ne jamais publier de chiffre estimé]</w:t>
      </w:r>
      <w:r>
        <w:rPr>
          <w:b w:val="0"/>
        </w:rPr>
        <w:t>.</w:t>
      </w:r>
    </w:p>
    <w:p>
      <w:pPr>
        <w:pStyle w:val="Heading1"/>
      </w:pPr>
      <w:r>
        <w:t>11. Contact</w:t>
      </w:r>
    </w:p>
    <w:p>
      <w:r>
        <w:rPr>
          <w:b w:val="0"/>
        </w:rPr>
        <w:t xml:space="preserve">YEBA FORMATIONS — </w:t>
      </w:r>
      <w:r>
        <w:rPr>
          <w:b w:val="0"/>
          <w:highlight w:val="yellow"/>
        </w:rPr>
        <w:t>[À COMPLÉTER : adresse du siège]</w:t>
      </w:r>
      <w:r>
        <w:rPr>
          <w:b w:val="0"/>
        </w:rPr>
        <w:t xml:space="preserve"> — </w:t>
      </w:r>
      <w:r>
        <w:rPr>
          <w:b w:val="0"/>
          <w:highlight w:val="yellow"/>
        </w:rPr>
        <w:t>[À COMPLÉTER : téléphone]</w:t>
      </w:r>
      <w:r>
        <w:rPr>
          <w:b w:val="0"/>
        </w:rPr>
        <w:t xml:space="preserve"> — </w:t>
      </w:r>
      <w:r>
        <w:rPr>
          <w:b w:val="0"/>
          <w:highlight w:val="yellow"/>
        </w:rPr>
        <w:t>[À COMPLÉTER : e-mail de contact]</w:t>
      </w:r>
    </w:p>
    <w:tbl>
      <w:tblPr>
        <w:tblStyle w:val="TableGrid"/>
        <w:tblW w:type="auto" w:w="0"/>
        <w:tblLook w:firstColumn="1" w:firstRow="1" w:lastColumn="0" w:lastRow="0" w:noHBand="0" w:noVBand="1" w:val="04A0"/>
      </w:tblPr>
      <w:tblGrid>
        <w:gridCol w:w="9638"/>
      </w:tblGrid>
      <w:tr>
        <w:tc>
          <w:tcPr>
            <w:tcW w:type="dxa" w:w="9638"/>
            <w:shd w:val="clear" w:color="auto" w:fill="FBF6E9"/>
          </w:tcPr>
          <w:p>
            <w:r/>
            <w:r>
              <w:rPr>
                <w:b/>
                <w:color w:val="1B3A6B"/>
                <w:sz w:val="24"/>
              </w:rPr>
              <w:t>🔒 RGPD / IA Act — points de conformité de ce document</w:t>
            </w:r>
          </w:p>
          <w:p>
            <w:r>
              <w:rPr>
                <w:b w:val="0"/>
                <w:sz w:val="22"/>
              </w:rPr>
              <w:t>RGPD : les données collectées à l'inscription servent uniquement à la gestion de la formation et aux obligations envers les financeurs (art. 6.1.b et 6.1.c RGPD). Voir la mention d'information jointe à la fiche d'inscription.</w:t>
            </w:r>
          </w:p>
          <w:p>
            <w:r>
              <w:rPr>
                <w:b w:val="0"/>
                <w:sz w:val="22"/>
              </w:rPr>
              <w:t>IA Act : aucune décision d'admission, d'orientation ou d'évaluation n'est prise par un système d'IA (ces usages relèvent de l'annexe III, point 3 — haut risque). Les décisions sont prises par une personne habilitée.</w:t>
            </w:r>
          </w:p>
        </w:tc>
      </w:tr>
    </w:tbl>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PRG-MEM  —  YEBA FORMATIONS — SIRET 814 622 262 00032 — Version 2026-10 — Page </w:t>
    </w:r>
    <w:r>
      <w:rPr>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76510" cy="576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
                  <a:stretch>
                    <a:fillRect/>
                  </a:stretch>
                </pic:blipFill>
                <pic:spPr>
                  <a:xfrm>
                    <a:off x="0" y="0"/>
                    <a:ext cx="676510" cy="576000"/>
                  </a:xfrm>
                  <a:prstGeom prst="rect"/>
                </pic:spPr>
              </pic:pic>
            </a:graphicData>
          </a:graphic>
        </wp:inline>
      </w:drawing>
    </w:r>
    <w:r>
      <w:rPr>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C9A94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Programme de formation — Titre professionnel Manager d'établissement marchand</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