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A6B"/>
          <w:sz w:val="44"/>
        </w:rPr>
        <w:t>Déroulé pédagogique et grilles critériées — Titre professionnel Responsable de petite ou moyenne structure</w:t>
      </w:r>
    </w:p>
    <w:p>
      <w:r>
        <w:rPr>
          <w:b/>
          <w:color w:val="C9A94D"/>
          <w:sz w:val="28"/>
        </w:rPr>
        <w:t>RNCP38575 • Version formateur</w:t>
      </w:r>
    </w:p>
    <w:p>
      <w:pPr>
        <w:pBdr>
          <w:bottom w:val="single" w:sz="18" w:space="1" w:color="C9A94D"/>
        </w:pBdr>
      </w:pPr>
    </w:p>
    <w:p>
      <w:r>
        <w:rPr>
          <w:b w:val="0"/>
        </w:rPr>
        <w:t>Ce déroulé détaille, module par module, l'objectif opérationnel, les contenus, les méthodes (avec un exemple concret ou ludique), l'évaluation formative et la durée. Il sert de preuve pour les indicateurs Qualiopi 5, 6, 10 et 11.</w:t>
      </w:r>
    </w:p>
    <w:p>
      <w:pPr>
        <w:pStyle w:val="Heading2"/>
      </w:pPr>
      <w:r>
        <w:t>M0 — Accueil, intégration et positionnement (14 h) • Transversal</w:t>
      </w:r>
    </w:p>
    <w:p>
      <w:r>
        <w:rPr>
          <w:b/>
        </w:rPr>
        <w:t>Objectif opérationnel :</w:t>
      </w:r>
      <w:r>
        <w:rPr>
          <w:b w:val="0"/>
        </w:rPr>
        <w:t xml:space="preserve"> à l'issue du module, le stagiaire est capable de : situer son parcours, ses droits et devoirs, et ses acquis de départ.</w:t>
      </w:r>
    </w:p>
    <w:p>
      <w:r>
        <w:rPr>
          <w:b/>
        </w:rPr>
        <w:t>Contenus :</w:t>
      </w:r>
    </w:p>
    <w:p>
      <w:pPr>
        <w:pStyle w:val="ListBullet"/>
      </w:pPr>
      <w:r>
        <w:rPr>
          <w:b w:val="0"/>
        </w:rPr>
        <w:t>Présentation du titre, des 3 CCP, du dossier de projet et de l'épreuve</w:t>
      </w:r>
    </w:p>
    <w:p>
      <w:pPr>
        <w:pStyle w:val="ListBullet"/>
      </w:pPr>
      <w:r>
        <w:rPr>
          <w:b w:val="0"/>
        </w:rPr>
        <w:t>Règlement intérieur, livret d'accueil, contrat d'engagement</w:t>
      </w:r>
    </w:p>
    <w:p>
      <w:pPr>
        <w:pStyle w:val="ListBullet"/>
      </w:pPr>
      <w:r>
        <w:rPr>
          <w:b w:val="0"/>
        </w:rPr>
        <w:t>Test de positionnement et parcours individualisé</w:t>
      </w:r>
    </w:p>
    <w:p>
      <w:pPr>
        <w:pStyle w:val="ListBullet"/>
      </w:pPr>
      <w:r>
        <w:rPr>
          <w:b w:val="0"/>
        </w:rPr>
        <w:t>Choix du « projet fil rouge » (structure réelle ou de création)</w:t>
      </w:r>
    </w:p>
    <w:p>
      <w:pPr>
        <w:pStyle w:val="ListBullet"/>
      </w:pPr>
      <w:r>
        <w:rPr>
          <w:b w:val="0"/>
        </w:rPr>
        <w:t>Information RGPD des stagiaires</w:t>
      </w:r>
    </w:p>
    <w:p>
      <w:r>
        <w:rPr>
          <w:b/>
        </w:rPr>
        <w:t>Méthodes et exemple marquant :</w:t>
      </w:r>
      <w:r>
        <w:rPr>
          <w:b w:val="0"/>
        </w:rPr>
        <w:t xml:space="preserve"> Jeu « Pitch ta boîte en 60 secondes » ; carte d'identité des TPE-PME réunionnaises</w:t>
      </w:r>
    </w:p>
    <w:p>
      <w:r>
        <w:rPr>
          <w:b/>
        </w:rPr>
        <w:t>Évaluation formative :</w:t>
      </w:r>
      <w:r>
        <w:rPr>
          <w:b w:val="0"/>
        </w:rPr>
        <w:t xml:space="preserve"> Test de positionnement + entretien individuel</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M1.1 — Développer une vision systémique de la structure (49 h) • CCP1</w:t>
      </w:r>
    </w:p>
    <w:p>
      <w:r>
        <w:rPr>
          <w:b/>
        </w:rPr>
        <w:t>Objectif opérationnel :</w:t>
      </w:r>
      <w:r>
        <w:rPr>
          <w:b w:val="0"/>
        </w:rPr>
        <w:t xml:space="preserve"> à l'issue du module, le stagiaire est capable de : analyser une structure dans son environnement et ses interactions.</w:t>
      </w:r>
    </w:p>
    <w:p>
      <w:r>
        <w:rPr>
          <w:b/>
        </w:rPr>
        <w:t>Contenus :</w:t>
      </w:r>
    </w:p>
    <w:p>
      <w:pPr>
        <w:pStyle w:val="ListBullet"/>
      </w:pPr>
      <w:r>
        <w:rPr>
          <w:b w:val="0"/>
        </w:rPr>
        <w:t>Formes juridiques, gouvernance, statut du dirigeant</w:t>
      </w:r>
    </w:p>
    <w:p>
      <w:pPr>
        <w:pStyle w:val="ListBullet"/>
      </w:pPr>
      <w:r>
        <w:rPr>
          <w:b w:val="0"/>
        </w:rPr>
        <w:t>Responsabilité civile et pénale du dirigeant, délégation de pouvoirs</w:t>
      </w:r>
    </w:p>
    <w:p>
      <w:pPr>
        <w:pStyle w:val="ListBullet"/>
      </w:pPr>
      <w:r>
        <w:rPr>
          <w:b w:val="0"/>
        </w:rPr>
        <w:t>Diagnostics PESTEL, SWOT, chaîne de valeur</w:t>
      </w:r>
    </w:p>
    <w:p>
      <w:pPr>
        <w:pStyle w:val="ListBullet"/>
      </w:pPr>
      <w:r>
        <w:rPr>
          <w:b w:val="0"/>
        </w:rPr>
        <w:t>Veille réglementaire, économique et technologique (dont IA)</w:t>
      </w:r>
    </w:p>
    <w:p>
      <w:pPr>
        <w:pStyle w:val="ListBullet"/>
      </w:pPr>
      <w:r>
        <w:rPr>
          <w:b w:val="0"/>
        </w:rPr>
        <w:t>Conformité : RGPD, IA Act, cybersécurité (recommandations ANSSI)</w:t>
      </w:r>
    </w:p>
    <w:p>
      <w:r>
        <w:rPr>
          <w:b/>
        </w:rPr>
        <w:t>Méthodes et exemple marquant :</w:t>
      </w:r>
      <w:r>
        <w:rPr>
          <w:b w:val="0"/>
        </w:rPr>
        <w:t xml:space="preserve"> Enquête « Autopsie d'une faillite » sur un cas réunionnais fictif ; carte mentale géante de la structure</w:t>
      </w:r>
    </w:p>
    <w:p>
      <w:r>
        <w:rPr>
          <w:b/>
        </w:rPr>
        <w:t>Évaluation formative :</w:t>
      </w:r>
      <w:r>
        <w:rPr>
          <w:b w:val="0"/>
        </w:rPr>
        <w:t xml:space="preserve"> Diagnostic écrit du projet fil rouge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M1.2 — Inscrire la structure dans son territoire (35 h) • CCP1</w:t>
      </w:r>
    </w:p>
    <w:p>
      <w:r>
        <w:rPr>
          <w:b/>
        </w:rPr>
        <w:t>Objectif opérationnel :</w:t>
      </w:r>
      <w:r>
        <w:rPr>
          <w:b w:val="0"/>
        </w:rPr>
        <w:t xml:space="preserve"> à l'issue du module, le stagiaire est capable de : positionner la structure dans l'écosystème local et ses réseaux.</w:t>
      </w:r>
    </w:p>
    <w:p>
      <w:r>
        <w:rPr>
          <w:b/>
        </w:rPr>
        <w:t>Contenus :</w:t>
      </w:r>
    </w:p>
    <w:p>
      <w:pPr>
        <w:pStyle w:val="ListBullet"/>
      </w:pPr>
      <w:r>
        <w:rPr>
          <w:b w:val="0"/>
        </w:rPr>
        <w:t>Acteurs du territoire : Région Réunion, CCI, CMA, réseaux d'entreprises, collectivités</w:t>
      </w:r>
    </w:p>
    <w:p>
      <w:pPr>
        <w:pStyle w:val="ListBullet"/>
      </w:pPr>
      <w:r>
        <w:rPr>
          <w:b w:val="0"/>
        </w:rPr>
        <w:t>Démarche RSE et développement durable</w:t>
      </w:r>
    </w:p>
    <w:p>
      <w:pPr>
        <w:pStyle w:val="ListBullet"/>
      </w:pPr>
      <w:r>
        <w:rPr>
          <w:b w:val="0"/>
        </w:rPr>
        <w:t>Partenariats, marchés publics, économie sociale et solidaire</w:t>
      </w:r>
    </w:p>
    <w:p>
      <w:pPr>
        <w:pStyle w:val="ListBullet"/>
      </w:pPr>
      <w:r>
        <w:rPr>
          <w:b w:val="0"/>
        </w:rPr>
        <w:t>Représenter la structure : négociation, prise de parole</w:t>
      </w:r>
    </w:p>
    <w:p>
      <w:r>
        <w:rPr>
          <w:b/>
        </w:rPr>
        <w:t>Méthodes et exemple marquant :</w:t>
      </w:r>
      <w:r>
        <w:rPr>
          <w:b w:val="0"/>
        </w:rPr>
        <w:t xml:space="preserve"> Rallye « Qui fait quoi à La Réunion ? » ; intervention d'un chef d'entreprise local</w:t>
      </w:r>
    </w:p>
    <w:p>
      <w:r>
        <w:rPr>
          <w:b/>
        </w:rPr>
        <w:t>Évaluation formative :</w:t>
      </w:r>
      <w:r>
        <w:rPr>
          <w:b w:val="0"/>
        </w:rPr>
        <w:t xml:space="preserve"> Cartographie des parties prenantes</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M1.3 — Manager et animer une équipe (70 h) • CCP1</w:t>
      </w:r>
    </w:p>
    <w:p>
      <w:r>
        <w:rPr>
          <w:b/>
        </w:rPr>
        <w:t>Objectif opérationnel :</w:t>
      </w:r>
      <w:r>
        <w:rPr>
          <w:b w:val="0"/>
        </w:rPr>
        <w:t xml:space="preserve"> à l'issue du module, le stagiaire est capable de : diriger au quotidien une équipe en respectant le droit du travail et la QVCT.</w:t>
      </w:r>
    </w:p>
    <w:p>
      <w:r>
        <w:rPr>
          <w:b/>
        </w:rPr>
        <w:t>Contenus :</w:t>
      </w:r>
    </w:p>
    <w:p>
      <w:pPr>
        <w:pStyle w:val="ListBullet"/>
      </w:pPr>
      <w:r>
        <w:rPr>
          <w:b w:val="0"/>
        </w:rPr>
        <w:t>Droit du travail essentiel : contrats, durée, représentation du personnel, discipline</w:t>
      </w:r>
    </w:p>
    <w:p>
      <w:pPr>
        <w:pStyle w:val="ListBullet"/>
      </w:pPr>
      <w:r>
        <w:rPr>
          <w:b w:val="0"/>
        </w:rPr>
        <w:t>Santé-sécurité : DUERP, prévention, QVCT</w:t>
      </w:r>
    </w:p>
    <w:p>
      <w:pPr>
        <w:pStyle w:val="ListBullet"/>
      </w:pPr>
      <w:r>
        <w:rPr>
          <w:b w:val="0"/>
        </w:rPr>
        <w:t>Recrutement non discriminant, intégration, handicap (obligation d'emploi, aménagements)</w:t>
      </w:r>
    </w:p>
    <w:p>
      <w:pPr>
        <w:pStyle w:val="ListBullet"/>
      </w:pPr>
      <w:r>
        <w:rPr>
          <w:b w:val="0"/>
        </w:rPr>
        <w:t>Entretiens, délégation, motivation, gestion des conflits</w:t>
      </w:r>
    </w:p>
    <w:p>
      <w:pPr>
        <w:pStyle w:val="ListBullet"/>
      </w:pPr>
      <w:r>
        <w:rPr>
          <w:b w:val="0"/>
        </w:rPr>
        <w:t>Gestion des aléas et priorités (matrice d'Eisenhower, plan de continuité cyclonique)</w:t>
      </w:r>
    </w:p>
    <w:p>
      <w:pPr>
        <w:pStyle w:val="ListBullet"/>
      </w:pPr>
      <w:r>
        <w:rPr>
          <w:b w:val="0"/>
        </w:rPr>
        <w:t>RGPD des données RH ; IA Act : outils RH à haut risque</w:t>
      </w:r>
    </w:p>
    <w:p>
      <w:r>
        <w:rPr>
          <w:b/>
        </w:rPr>
        <w:t>Méthodes et exemple marquant :</w:t>
      </w:r>
      <w:r>
        <w:rPr>
          <w:b w:val="0"/>
        </w:rPr>
        <w:t xml:space="preserve"> Simulation « Alerte rouge cyclonique : que fait le dirigeant ? » ; jeux de rôle d'entretiens</w:t>
      </w:r>
    </w:p>
    <w:p>
      <w:r>
        <w:rPr>
          <w:b/>
        </w:rPr>
        <w:t>Évaluation formative :</w:t>
      </w:r>
      <w:r>
        <w:rPr>
          <w:b w:val="0"/>
        </w:rPr>
        <w:t xml:space="preserve"> Jeu de rôle évalué par grille critériée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M2.1 — Adapter l'offre de la structure à la demande (63 h) • CCP2</w:t>
      </w:r>
    </w:p>
    <w:p>
      <w:r>
        <w:rPr>
          <w:b/>
        </w:rPr>
        <w:t>Objectif opérationnel :</w:t>
      </w:r>
      <w:r>
        <w:rPr>
          <w:b w:val="0"/>
        </w:rPr>
        <w:t xml:space="preserve"> à l'issue du module, le stagiaire est capable de : analyser le marché et faire évoluer l'offre de biens et services.</w:t>
      </w:r>
    </w:p>
    <w:p>
      <w:r>
        <w:rPr>
          <w:b/>
        </w:rPr>
        <w:t>Contenus :</w:t>
      </w:r>
    </w:p>
    <w:p>
      <w:pPr>
        <w:pStyle w:val="ListBullet"/>
      </w:pPr>
      <w:r>
        <w:rPr>
          <w:b w:val="0"/>
        </w:rPr>
        <w:t>Étude de marché (sources : INSEE Réunion, CCI, enquêtes terrain)</w:t>
      </w:r>
    </w:p>
    <w:p>
      <w:pPr>
        <w:pStyle w:val="ListBullet"/>
      </w:pPr>
      <w:r>
        <w:rPr>
          <w:b w:val="0"/>
        </w:rPr>
        <w:t>Segmentation, ciblage, positionnement</w:t>
      </w:r>
    </w:p>
    <w:p>
      <w:pPr>
        <w:pStyle w:val="ListBullet"/>
      </w:pPr>
      <w:r>
        <w:rPr>
          <w:b w:val="0"/>
        </w:rPr>
        <w:t>Construction de l'offre et du prix</w:t>
      </w:r>
    </w:p>
    <w:p>
      <w:pPr>
        <w:pStyle w:val="ListBullet"/>
      </w:pPr>
      <w:r>
        <w:rPr>
          <w:b w:val="0"/>
        </w:rPr>
        <w:t>Innovation, IA et nouveaux services</w:t>
      </w:r>
    </w:p>
    <w:p>
      <w:r>
        <w:rPr>
          <w:b/>
        </w:rPr>
        <w:t>Méthodes et exemple marquant :</w:t>
      </w:r>
      <w:r>
        <w:rPr>
          <w:b w:val="0"/>
        </w:rPr>
        <w:t xml:space="preserve"> Défi « Lancer un nouveau produit péi en 3 heures »</w:t>
      </w:r>
    </w:p>
    <w:p>
      <w:r>
        <w:rPr>
          <w:b/>
        </w:rPr>
        <w:t>Évaluation formative :</w:t>
      </w:r>
      <w:r>
        <w:rPr>
          <w:b w:val="0"/>
        </w:rPr>
        <w:t xml:space="preserve"> Étude de marché du projet fil rouge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M2.2 — Organiser et développer la diffusion de l'offre (56 h) • CCP2</w:t>
      </w:r>
    </w:p>
    <w:p>
      <w:r>
        <w:rPr>
          <w:b/>
        </w:rPr>
        <w:t>Objectif opérationnel :</w:t>
      </w:r>
      <w:r>
        <w:rPr>
          <w:b w:val="0"/>
        </w:rPr>
        <w:t xml:space="preserve"> à l'issue du module, le stagiaire est capable de : construire et piloter un plan d'action commercial.</w:t>
      </w:r>
    </w:p>
    <w:p>
      <w:r>
        <w:rPr>
          <w:b/>
        </w:rPr>
        <w:t>Contenus :</w:t>
      </w:r>
    </w:p>
    <w:p>
      <w:pPr>
        <w:pStyle w:val="ListBullet"/>
      </w:pPr>
      <w:r>
        <w:rPr>
          <w:b w:val="0"/>
        </w:rPr>
        <w:t>Plan d'action commercial, canaux de distribution</w:t>
      </w:r>
    </w:p>
    <w:p>
      <w:pPr>
        <w:pStyle w:val="ListBullet"/>
      </w:pPr>
      <w:r>
        <w:rPr>
          <w:b w:val="0"/>
        </w:rPr>
        <w:t>Marketing digital, réseaux sociaux, site internet (mentions légales, cookies : RGPD)</w:t>
      </w:r>
    </w:p>
    <w:p>
      <w:pPr>
        <w:pStyle w:val="ListBullet"/>
      </w:pPr>
      <w:r>
        <w:rPr>
          <w:b w:val="0"/>
        </w:rPr>
        <w:t>Prospection, négociation, fidélisation</w:t>
      </w:r>
    </w:p>
    <w:p>
      <w:pPr>
        <w:pStyle w:val="ListBullet"/>
      </w:pPr>
      <w:r>
        <w:rPr>
          <w:b w:val="0"/>
        </w:rPr>
        <w:t>Réponse simple à un interlocuteur anglophone</w:t>
      </w:r>
    </w:p>
    <w:p>
      <w:r>
        <w:rPr>
          <w:b/>
        </w:rPr>
        <w:t>Méthodes et exemple marquant :</w:t>
      </w:r>
      <w:r>
        <w:rPr>
          <w:b w:val="0"/>
        </w:rPr>
        <w:t xml:space="preserve"> Négociation chronométrée « Le client de Maurice » (en partie en anglais)</w:t>
      </w:r>
    </w:p>
    <w:p>
      <w:r>
        <w:rPr>
          <w:b/>
        </w:rPr>
        <w:t>Évaluation formative :</w:t>
      </w:r>
      <w:r>
        <w:rPr>
          <w:b w:val="0"/>
        </w:rPr>
        <w:t xml:space="preserve"> Plan d'action commercial présenté</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M2.3 — Organiser la production (56 h) • CCP2</w:t>
      </w:r>
    </w:p>
    <w:p>
      <w:r>
        <w:rPr>
          <w:b/>
        </w:rPr>
        <w:t>Objectif opérationnel :</w:t>
      </w:r>
      <w:r>
        <w:rPr>
          <w:b w:val="0"/>
        </w:rPr>
        <w:t xml:space="preserve"> à l'issue du module, le stagiaire est capable de : organiser la production de biens ou de services avec qualité et efficience.</w:t>
      </w:r>
    </w:p>
    <w:p>
      <w:r>
        <w:rPr>
          <w:b/>
        </w:rPr>
        <w:t>Contenus :</w:t>
      </w:r>
    </w:p>
    <w:p>
      <w:pPr>
        <w:pStyle w:val="ListBullet"/>
      </w:pPr>
      <w:r>
        <w:rPr>
          <w:b w:val="0"/>
        </w:rPr>
        <w:t>Processus, cartographie, qualité, amélioration continue</w:t>
      </w:r>
    </w:p>
    <w:p>
      <w:pPr>
        <w:pStyle w:val="ListBullet"/>
      </w:pPr>
      <w:r>
        <w:rPr>
          <w:b w:val="0"/>
        </w:rPr>
        <w:t>Achats, fournisseurs, stocks, logistique insulaire</w:t>
      </w:r>
    </w:p>
    <w:p>
      <w:pPr>
        <w:pStyle w:val="ListBullet"/>
      </w:pPr>
      <w:r>
        <w:rPr>
          <w:b w:val="0"/>
        </w:rPr>
        <w:t>Planification de la production, gestion des aléas</w:t>
      </w:r>
    </w:p>
    <w:p>
      <w:pPr>
        <w:pStyle w:val="ListBullet"/>
      </w:pPr>
      <w:r>
        <w:rPr>
          <w:b w:val="0"/>
        </w:rPr>
        <w:t>Automatisation et workflows (outils souverains)</w:t>
      </w:r>
    </w:p>
    <w:p>
      <w:r>
        <w:rPr>
          <w:b/>
        </w:rPr>
        <w:t>Méthodes et exemple marquant :</w:t>
      </w:r>
      <w:r>
        <w:rPr>
          <w:b w:val="0"/>
        </w:rPr>
        <w:t xml:space="preserve"> Jeu « L'usine à samoussas » : optimiser une ligne de production en 3 tours</w:t>
      </w:r>
    </w:p>
    <w:p>
      <w:r>
        <w:rPr>
          <w:b/>
        </w:rPr>
        <w:t>Évaluation formative :</w:t>
      </w:r>
      <w:r>
        <w:rPr>
          <w:b w:val="0"/>
        </w:rPr>
        <w:t xml:space="preserve"> Cartographie de processus</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M3.1 — Analyser le bilan de la structure (49 h) • CCP3</w:t>
      </w:r>
    </w:p>
    <w:p>
      <w:r>
        <w:rPr>
          <w:b/>
        </w:rPr>
        <w:t>Objectif opérationnel :</w:t>
      </w:r>
      <w:r>
        <w:rPr>
          <w:b w:val="0"/>
        </w:rPr>
        <w:t xml:space="preserve"> à l'issue du module, le stagiaire est capable de : lire et interpréter un bilan.</w:t>
      </w:r>
    </w:p>
    <w:p>
      <w:r>
        <w:rPr>
          <w:b/>
        </w:rPr>
        <w:t>Contenus :</w:t>
      </w:r>
    </w:p>
    <w:p>
      <w:pPr>
        <w:pStyle w:val="ListBullet"/>
      </w:pPr>
      <w:r>
        <w:rPr>
          <w:b w:val="0"/>
        </w:rPr>
        <w:t>Actif, passif, fonds de roulement, BFR, trésorerie</w:t>
      </w:r>
    </w:p>
    <w:p>
      <w:pPr>
        <w:pStyle w:val="ListBullet"/>
      </w:pPr>
      <w:r>
        <w:rPr>
          <w:b w:val="0"/>
        </w:rPr>
        <w:t>Ratios de structure et de solvabilité</w:t>
      </w:r>
    </w:p>
    <w:p>
      <w:pPr>
        <w:pStyle w:val="ListBullet"/>
      </w:pPr>
      <w:r>
        <w:rPr>
          <w:b w:val="0"/>
        </w:rPr>
        <w:t>Lecture de liasses fiscales réelles anonymisées</w:t>
      </w:r>
    </w:p>
    <w:p>
      <w:r>
        <w:rPr>
          <w:b/>
        </w:rPr>
        <w:t>Méthodes et exemple marquant :</w:t>
      </w:r>
      <w:r>
        <w:rPr>
          <w:b w:val="0"/>
        </w:rPr>
        <w:t xml:space="preserve"> « Le bilan raconte une histoire » : deviner le métier d'une entreprise à partir de son bilan</w:t>
      </w:r>
    </w:p>
    <w:p>
      <w:r>
        <w:rPr>
          <w:b/>
        </w:rPr>
        <w:t>Évaluation formative :</w:t>
      </w:r>
      <w:r>
        <w:rPr>
          <w:b w:val="0"/>
        </w:rPr>
        <w:t xml:space="preserve"> Exercices corrigés</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M3.2 — Analyser le compte de résultat de la structure (49 h) • CCP3</w:t>
      </w:r>
    </w:p>
    <w:p>
      <w:r>
        <w:rPr>
          <w:b/>
        </w:rPr>
        <w:t>Objectif opérationnel :</w:t>
      </w:r>
      <w:r>
        <w:rPr>
          <w:b w:val="0"/>
        </w:rPr>
        <w:t xml:space="preserve"> à l'issue du module, le stagiaire est capable de : interpréter le compte de résultat et piloter la rentabilité.</w:t>
      </w:r>
    </w:p>
    <w:p>
      <w:r>
        <w:rPr>
          <w:b/>
        </w:rPr>
        <w:t>Contenus :</w:t>
      </w:r>
    </w:p>
    <w:p>
      <w:pPr>
        <w:pStyle w:val="ListBullet"/>
      </w:pPr>
      <w:r>
        <w:rPr>
          <w:b w:val="0"/>
        </w:rPr>
        <w:t>Soldes intermédiaires de gestion, capacité d'autofinancement</w:t>
      </w:r>
    </w:p>
    <w:p>
      <w:pPr>
        <w:pStyle w:val="ListBullet"/>
      </w:pPr>
      <w:r>
        <w:rPr>
          <w:b w:val="0"/>
        </w:rPr>
        <w:t>Seuil de rentabilité, point mort</w:t>
      </w:r>
    </w:p>
    <w:p>
      <w:pPr>
        <w:pStyle w:val="ListBullet"/>
      </w:pPr>
      <w:r>
        <w:rPr>
          <w:b w:val="0"/>
        </w:rPr>
        <w:t>Budget, plan de trésorerie, tableau de bord</w:t>
      </w:r>
    </w:p>
    <w:p>
      <w:pPr>
        <w:pStyle w:val="ListBullet"/>
      </w:pPr>
      <w:r>
        <w:rPr>
          <w:b w:val="0"/>
        </w:rPr>
        <w:t>Aides et financements des entreprises à La Réunion</w:t>
      </w:r>
    </w:p>
    <w:p>
      <w:r>
        <w:rPr>
          <w:b/>
        </w:rPr>
        <w:t>Méthodes et exemple marquant :</w:t>
      </w:r>
      <w:r>
        <w:rPr>
          <w:b w:val="0"/>
        </w:rPr>
        <w:t xml:space="preserve"> Simulation « Trésorerie en eaux troubles » : passer un trimestre sans découvert</w:t>
      </w:r>
    </w:p>
    <w:p>
      <w:r>
        <w:rPr>
          <w:b/>
        </w:rPr>
        <w:t>Évaluation formative :</w:t>
      </w:r>
      <w:r>
        <w:rPr>
          <w:b w:val="0"/>
        </w:rPr>
        <w:t xml:space="preserve"> Tableau de bord du projet fil rouge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M3.3 — Rédiger le rapport d'activité de la structure (42 h) • CCP3</w:t>
      </w:r>
    </w:p>
    <w:p>
      <w:r>
        <w:rPr>
          <w:b/>
        </w:rPr>
        <w:t>Objectif opérationnel :</w:t>
      </w:r>
      <w:r>
        <w:rPr>
          <w:b w:val="0"/>
        </w:rPr>
        <w:t xml:space="preserve"> à l'issue du module, le stagiaire est capable de : produire et présenter un rapport d'activité clair à la gouvernance.</w:t>
      </w:r>
    </w:p>
    <w:p>
      <w:r>
        <w:rPr>
          <w:b/>
        </w:rPr>
        <w:t>Contenus :</w:t>
      </w:r>
    </w:p>
    <w:p>
      <w:pPr>
        <w:pStyle w:val="ListBullet"/>
      </w:pPr>
      <w:r>
        <w:rPr>
          <w:b w:val="0"/>
        </w:rPr>
        <w:t>Structure d'un rapport d'activité</w:t>
      </w:r>
    </w:p>
    <w:p>
      <w:pPr>
        <w:pStyle w:val="ListBullet"/>
      </w:pPr>
      <w:r>
        <w:rPr>
          <w:b w:val="0"/>
        </w:rPr>
        <w:t>Indicateurs extra-financiers (RSE, social)</w:t>
      </w:r>
    </w:p>
    <w:p>
      <w:pPr>
        <w:pStyle w:val="ListBullet"/>
      </w:pPr>
      <w:r>
        <w:rPr>
          <w:b w:val="0"/>
        </w:rPr>
        <w:t>Rédaction claire, accessibilité des documents</w:t>
      </w:r>
    </w:p>
    <w:p>
      <w:pPr>
        <w:pStyle w:val="ListBullet"/>
      </w:pPr>
      <w:r>
        <w:rPr>
          <w:b w:val="0"/>
        </w:rPr>
        <w:t>Présentation orale à la gouvernance</w:t>
      </w:r>
    </w:p>
    <w:p>
      <w:r>
        <w:rPr>
          <w:b/>
        </w:rPr>
        <w:t>Méthodes et exemple marquant :</w:t>
      </w:r>
      <w:r>
        <w:rPr>
          <w:b w:val="0"/>
        </w:rPr>
        <w:t xml:space="preserve"> « Assemblée générale simulée » avec questions pièges</w:t>
      </w:r>
    </w:p>
    <w:p>
      <w:r>
        <w:rPr>
          <w:b/>
        </w:rPr>
        <w:t>Évaluation formative :</w:t>
      </w:r>
      <w:r>
        <w:rPr>
          <w:b w:val="0"/>
        </w:rPr>
        <w:t xml:space="preserve"> Rapport d'activité rédigé</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T1 — IA, données et gouvernance du dirigeant (module distinctif YEBA) (42 h) • Transversal</w:t>
      </w:r>
    </w:p>
    <w:p>
      <w:r>
        <w:rPr>
          <w:b/>
        </w:rPr>
        <w:t>Objectif opérationnel :</w:t>
      </w:r>
      <w:r>
        <w:rPr>
          <w:b w:val="0"/>
        </w:rPr>
        <w:t xml:space="preserve"> à l'issue du module, le stagiaire est capable de : piloter l'usage de l'IA dans une petite structure de façon rentable et conforme.</w:t>
      </w:r>
    </w:p>
    <w:p>
      <w:r>
        <w:rPr>
          <w:b/>
        </w:rPr>
        <w:t>Contenus :</w:t>
      </w:r>
    </w:p>
    <w:p>
      <w:pPr>
        <w:pStyle w:val="ListBullet"/>
      </w:pPr>
      <w:r>
        <w:rPr>
          <w:b w:val="0"/>
        </w:rPr>
        <w:t>IA générative : usages de direction (synthèses, veille, rédaction, analyse)</w:t>
      </w:r>
    </w:p>
    <w:p>
      <w:pPr>
        <w:pStyle w:val="ListBullet"/>
      </w:pPr>
      <w:r>
        <w:rPr>
          <w:b w:val="0"/>
        </w:rPr>
        <w:t>Workflows et automatisations simples, choix d'outils souverains</w:t>
      </w:r>
    </w:p>
    <w:p>
      <w:pPr>
        <w:pStyle w:val="ListBullet"/>
      </w:pPr>
      <w:r>
        <w:rPr>
          <w:b w:val="0"/>
        </w:rPr>
        <w:t>RGPD du dirigeant : registre, base légale, sous-traitants, violations</w:t>
      </w:r>
    </w:p>
    <w:p>
      <w:pPr>
        <w:pStyle w:val="ListBullet"/>
      </w:pPr>
      <w:r>
        <w:rPr>
          <w:b w:val="0"/>
        </w:rPr>
        <w:t>IA Act : maîtrise de l'IA (art. 4), pratiques interdites, haut risque, transparence (art. 50)</w:t>
      </w:r>
    </w:p>
    <w:p>
      <w:pPr>
        <w:pStyle w:val="ListBullet"/>
      </w:pPr>
      <w:r>
        <w:rPr>
          <w:b w:val="0"/>
        </w:rPr>
        <w:t>Cybersécurité de base (guide ANSSI des TPE-PME)</w:t>
      </w:r>
    </w:p>
    <w:p>
      <w:pPr>
        <w:pStyle w:val="ListBullet"/>
      </w:pPr>
      <w:r>
        <w:rPr>
          <w:b w:val="0"/>
        </w:rPr>
        <w:t>Charte d'usage de l'IA pour son équipe</w:t>
      </w:r>
    </w:p>
    <w:p>
      <w:r>
        <w:rPr>
          <w:b/>
        </w:rPr>
        <w:t>Méthodes et exemple marquant :</w:t>
      </w:r>
      <w:r>
        <w:rPr>
          <w:b w:val="0"/>
        </w:rPr>
        <w:t xml:space="preserve"> Atelier « Ma charte IA en 2 heures » ; chasse aux hallucinations</w:t>
      </w:r>
    </w:p>
    <w:p>
      <w:r>
        <w:rPr>
          <w:b/>
        </w:rPr>
        <w:t>Évaluation formative :</w:t>
      </w:r>
      <w:r>
        <w:rPr>
          <w:b w:val="0"/>
        </w:rPr>
        <w:t xml:space="preserve"> Charte IA rédigée pour le projet fil rouge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T2 — Anglais professionnel de base (14 h) • Transversal</w:t>
      </w:r>
    </w:p>
    <w:p>
      <w:r>
        <w:rPr>
          <w:b/>
        </w:rPr>
        <w:t>Objectif opérationnel :</w:t>
      </w:r>
      <w:r>
        <w:rPr>
          <w:b w:val="0"/>
        </w:rPr>
        <w:t xml:space="preserve"> à l'issue du module, le stagiaire est capable de : répondre à des demandes simples d'un interlocuteur anglophone.</w:t>
      </w:r>
    </w:p>
    <w:p>
      <w:r>
        <w:rPr>
          <w:b/>
        </w:rPr>
        <w:t>Contenus :</w:t>
      </w:r>
    </w:p>
    <w:p>
      <w:pPr>
        <w:pStyle w:val="ListBullet"/>
      </w:pPr>
      <w:r>
        <w:rPr>
          <w:b w:val="0"/>
        </w:rPr>
        <w:t>Accueil, téléphone, e-mail simple</w:t>
      </w:r>
    </w:p>
    <w:p>
      <w:pPr>
        <w:pStyle w:val="ListBullet"/>
      </w:pPr>
      <w:r>
        <w:rPr>
          <w:b w:val="0"/>
        </w:rPr>
        <w:t>Vocabulaire commercial et de gestion</w:t>
      </w:r>
    </w:p>
    <w:p>
      <w:r>
        <w:rPr>
          <w:b/>
        </w:rPr>
        <w:t>Méthodes et exemple marquant :</w:t>
      </w:r>
      <w:r>
        <w:rPr>
          <w:b w:val="0"/>
        </w:rPr>
        <w:t xml:space="preserve"> Jeux de rôle avec un client touriste</w:t>
      </w:r>
    </w:p>
    <w:p>
      <w:r>
        <w:rPr>
          <w:b/>
        </w:rPr>
        <w:t>Évaluation formative :</w:t>
      </w:r>
      <w:r>
        <w:rPr>
          <w:b w:val="0"/>
        </w:rPr>
        <w:t xml:space="preserve"> Mise en situation orale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T3 — Dossier de projet, dossier professionnel et diaporama (21 h) • Transversal</w:t>
      </w:r>
    </w:p>
    <w:p>
      <w:r>
        <w:rPr>
          <w:b/>
        </w:rPr>
        <w:t>Objectif opérationnel :</w:t>
      </w:r>
      <w:r>
        <w:rPr>
          <w:b w:val="0"/>
        </w:rPr>
        <w:t xml:space="preserve"> à l'issue du module, le stagiaire est capable de : finaliser le dossier de projet, le dossier professionnel et le diaporama de l'épreuve.</w:t>
      </w:r>
    </w:p>
    <w:p>
      <w:r>
        <w:rPr>
          <w:b/>
        </w:rPr>
        <w:t>Contenus :</w:t>
      </w:r>
    </w:p>
    <w:p>
      <w:pPr>
        <w:pStyle w:val="ListBullet"/>
      </w:pPr>
      <w:r>
        <w:rPr>
          <w:b w:val="0"/>
        </w:rPr>
        <w:t>Dossier de projet couvrant les 3 CCP</w:t>
      </w:r>
    </w:p>
    <w:p>
      <w:pPr>
        <w:pStyle w:val="ListBullet"/>
      </w:pPr>
      <w:r>
        <w:rPr>
          <w:b w:val="0"/>
        </w:rPr>
        <w:t>Dossier professionnel (DP)</w:t>
      </w:r>
    </w:p>
    <w:p>
      <w:pPr>
        <w:pStyle w:val="ListBullet"/>
      </w:pPr>
      <w:r>
        <w:rPr>
          <w:b w:val="0"/>
        </w:rPr>
        <w:t>Diaporama de présentation (45 min)</w:t>
      </w:r>
    </w:p>
    <w:p>
      <w:r>
        <w:rPr>
          <w:b/>
        </w:rPr>
        <w:t>Méthodes et exemple marquant :</w:t>
      </w:r>
      <w:r>
        <w:rPr>
          <w:b w:val="0"/>
        </w:rPr>
        <w:t xml:space="preserve"> Relecture croisée entre stagiaires</w:t>
      </w:r>
    </w:p>
    <w:p>
      <w:r>
        <w:rPr>
          <w:b/>
        </w:rPr>
        <w:t>Évaluation formative :</w:t>
      </w:r>
      <w:r>
        <w:rPr>
          <w:b w:val="0"/>
        </w:rPr>
        <w:t xml:space="preserve"> Grille de conformité du dossier</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T4 — Préparation de la période en entreprise et insertion (14 h) • Transversal</w:t>
      </w:r>
    </w:p>
    <w:p>
      <w:r>
        <w:rPr>
          <w:b/>
        </w:rPr>
        <w:t>Objectif opérationnel :</w:t>
      </w:r>
      <w:r>
        <w:rPr>
          <w:b w:val="0"/>
        </w:rPr>
        <w:t xml:space="preserve"> à l'issue du module, le stagiaire est capable de : préparer la période en entreprise et son projet professionnel ou entrepreneurial.</w:t>
      </w:r>
    </w:p>
    <w:p>
      <w:r>
        <w:rPr>
          <w:b/>
        </w:rPr>
        <w:t>Contenus :</w:t>
      </w:r>
    </w:p>
    <w:p>
      <w:pPr>
        <w:pStyle w:val="ListBullet"/>
      </w:pPr>
      <w:r>
        <w:rPr>
          <w:b w:val="0"/>
        </w:rPr>
        <w:t>Recherche de la structure d'accueil, convention</w:t>
      </w:r>
    </w:p>
    <w:p>
      <w:pPr>
        <w:pStyle w:val="ListBullet"/>
      </w:pPr>
      <w:r>
        <w:rPr>
          <w:b w:val="0"/>
        </w:rPr>
        <w:t>Objectifs de la période liés au projet fil rouge</w:t>
      </w:r>
    </w:p>
    <w:p>
      <w:pPr>
        <w:pStyle w:val="ListBullet"/>
      </w:pPr>
      <w:r>
        <w:rPr>
          <w:b w:val="0"/>
        </w:rPr>
        <w:t>Sensibilisation à la création et reprise d'entreprise (accompagnement local)</w:t>
      </w:r>
    </w:p>
    <w:p>
      <w:r>
        <w:rPr>
          <w:b/>
        </w:rPr>
        <w:t>Méthodes et exemple marquant :</w:t>
      </w:r>
      <w:r>
        <w:rPr>
          <w:b w:val="0"/>
        </w:rPr>
        <w:t xml:space="preserve"> Speed-meeting avec des dirigeants locaux</w:t>
      </w:r>
    </w:p>
    <w:p>
      <w:r>
        <w:rPr>
          <w:b/>
        </w:rPr>
        <w:t>Évaluation formative :</w:t>
      </w:r>
      <w:r>
        <w:rPr>
          <w:b w:val="0"/>
        </w:rPr>
        <w:t xml:space="preserve"> Convention signée + objectifs écrits</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T5 — Entraînement à l'épreuve du titre (14 h) • Transversal</w:t>
      </w:r>
    </w:p>
    <w:p>
      <w:r>
        <w:rPr>
          <w:b/>
        </w:rPr>
        <w:t>Objectif opérationnel :</w:t>
      </w:r>
      <w:r>
        <w:rPr>
          <w:b w:val="0"/>
        </w:rPr>
        <w:t xml:space="preserve"> à l'issue du module, le stagiaire est capable de : présenter son projet et répondre au jury avec aisance.</w:t>
      </w:r>
    </w:p>
    <w:p>
      <w:r>
        <w:rPr>
          <w:b/>
        </w:rPr>
        <w:t>Contenus :</w:t>
      </w:r>
    </w:p>
    <w:p>
      <w:pPr>
        <w:pStyle w:val="ListBullet"/>
      </w:pPr>
      <w:r>
        <w:rPr>
          <w:b w:val="0"/>
        </w:rPr>
        <w:t>Présentations blanches chronométrées (45 min)</w:t>
      </w:r>
    </w:p>
    <w:p>
      <w:pPr>
        <w:pStyle w:val="ListBullet"/>
      </w:pPr>
      <w:r>
        <w:rPr>
          <w:b w:val="0"/>
        </w:rPr>
        <w:t>Entretiens techniques et finaux blancs</w:t>
      </w:r>
    </w:p>
    <w:p>
      <w:r>
        <w:rPr>
          <w:b/>
        </w:rPr>
        <w:t>Méthodes et exemple marquant :</w:t>
      </w:r>
      <w:r>
        <w:rPr>
          <w:b w:val="0"/>
        </w:rPr>
        <w:t xml:space="preserve"> Jury blanc composé de dirigeants invités</w:t>
      </w:r>
    </w:p>
    <w:p>
      <w:r>
        <w:rPr>
          <w:b/>
        </w:rPr>
        <w:t>Évaluation formative :</w:t>
      </w:r>
      <w:r>
        <w:rPr>
          <w:b w:val="0"/>
        </w:rPr>
        <w:t xml:space="preserve"> Résultats de l'épreuve blanche</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pPr>
        <w:pStyle w:val="Heading2"/>
      </w:pPr>
      <w:r>
        <w:t>T6 — Suivi individuel et prévention du décrochage (7 h) • Transversal</w:t>
      </w:r>
    </w:p>
    <w:p>
      <w:r>
        <w:rPr>
          <w:b/>
        </w:rPr>
        <w:t>Objectif opérationnel :</w:t>
      </w:r>
      <w:r>
        <w:rPr>
          <w:b w:val="0"/>
        </w:rPr>
        <w:t xml:space="preserve"> à l'issue du module, le stagiaire est capable de : repérer et lever tôt les freins à la poursuite du parcours.</w:t>
      </w:r>
    </w:p>
    <w:p>
      <w:r>
        <w:rPr>
          <w:b/>
        </w:rPr>
        <w:t>Contenus :</w:t>
      </w:r>
    </w:p>
    <w:p>
      <w:pPr>
        <w:pStyle w:val="ListBullet"/>
      </w:pPr>
      <w:r>
        <w:rPr>
          <w:b w:val="0"/>
        </w:rPr>
        <w:t>Entretiens individuels (J+15, mi-parcours, avant session)</w:t>
      </w:r>
    </w:p>
    <w:p>
      <w:pPr>
        <w:pStyle w:val="ListBullet"/>
      </w:pPr>
      <w:r>
        <w:rPr>
          <w:b w:val="0"/>
        </w:rPr>
        <w:t>Freins périphériques et orientation vers les partenaires</w:t>
      </w:r>
    </w:p>
    <w:p>
      <w:r>
        <w:rPr>
          <w:b/>
        </w:rPr>
        <w:t>Méthodes et exemple marquant :</w:t>
      </w:r>
      <w:r>
        <w:rPr>
          <w:b w:val="0"/>
        </w:rPr>
        <w:t xml:space="preserve"> Tableau de progression visuel</w:t>
      </w:r>
    </w:p>
    <w:p>
      <w:r>
        <w:rPr>
          <w:b/>
        </w:rPr>
        <w:t>Évaluation formative :</w:t>
      </w:r>
      <w:r>
        <w:rPr>
          <w:b w:val="0"/>
        </w:rPr>
        <w:t xml:space="preserve"> Fiche de suivi individuel</w:t>
      </w:r>
    </w:p>
    <w:p>
      <w:r>
        <w:rPr>
          <w:b/>
        </w:rPr>
        <w:t>Supports :</w:t>
      </w:r>
      <w:r>
        <w:rPr>
          <w:b w:val="0"/>
        </w:rPr>
        <w:t xml:space="preserve"> diaporama en gros caractères (mots-clés), fiche mémo PDF accessible, cas pratiques. </w:t>
      </w:r>
      <w:r>
        <w:rPr>
          <w:b/>
        </w:rPr>
        <w:t>Formateur :</w:t>
      </w:r>
      <w:r>
        <w:rPr>
          <w:b w:val="0"/>
        </w:rPr>
        <w:t xml:space="preserve"> </w:t>
      </w:r>
      <w:r>
        <w:rPr>
          <w:b w:val="0"/>
          <w:highlight w:val="yellow"/>
        </w:rPr>
        <w:t>[À COMPLÉTER]</w:t>
      </w:r>
    </w:p>
    <w:p>
      <w:r>
        <w:br w:type="page"/>
      </w:r>
    </w:p>
    <w:p>
      <w:pPr>
        <w:pStyle w:val="Heading1"/>
      </w:pPr>
      <w:r>
        <w:t>Grilles critériées par bloc de compétences</w:t>
      </w:r>
    </w:p>
    <w:p>
      <w:r>
        <w:rPr>
          <w:b w:val="0"/>
        </w:rPr>
        <w:t>Échelle : 0 = non acquis • 1 = en cours d'acquisition • 2 = acquis • 3 = maîtrisé. Seuil de réussite conseillé : aucune ligne à 0 et moyenne ≥ 2. La grille est remplie par le formateur ; le stagiaire la commente et la signe. Aucune notation automatisée par IA.</w:t>
      </w:r>
    </w:p>
    <w:p>
      <w:pPr>
        <w:pStyle w:val="Heading2"/>
      </w:pPr>
      <w:r>
        <w:t>CCP1 — RNCP38575BC01 — Diriger une structure avec une équipe</w:t>
      </w:r>
    </w:p>
    <w:tbl>
      <w:tblPr>
        <w:tblStyle w:val="TableGrid"/>
        <w:tblW w:type="auto" w:w="0"/>
        <w:jc w:val="center"/>
        <w:tblLayout w:type="fixed"/>
        <w:tblLook w:firstColumn="1" w:firstRow="1" w:lastColumn="0" w:lastRow="0" w:noHBand="0" w:noVBand="1" w:val="04A0"/>
      </w:tblPr>
      <w:tblGrid>
        <w:gridCol w:w="1984"/>
        <w:gridCol w:w="3118"/>
        <w:gridCol w:w="1134"/>
        <w:gridCol w:w="1134"/>
        <w:gridCol w:w="1134"/>
        <w:gridCol w:w="1134"/>
      </w:tblGrid>
      <w:tr>
        <w:trPr>
          <w:tblHeader w:val="true"/>
        </w:trPr>
        <w:tc>
          <w:tcPr>
            <w:tcW w:type="dxa" w:w="1984"/>
            <w:shd w:val="clear" w:color="auto" w:fill="1B3A6B"/>
          </w:tcPr>
          <w:p>
            <w:r/>
            <w:r>
              <w:rPr>
                <w:b/>
                <w:color w:val="FFFFFF"/>
                <w:sz w:val="22"/>
              </w:rPr>
              <w:t>Compétence</w:t>
            </w:r>
          </w:p>
        </w:tc>
        <w:tc>
          <w:tcPr>
            <w:tcW w:type="dxa" w:w="3118"/>
            <w:shd w:val="clear" w:color="auto" w:fill="1B3A6B"/>
          </w:tcPr>
          <w:p>
            <w:r/>
            <w:r>
              <w:rPr>
                <w:b/>
                <w:color w:val="FFFFFF"/>
                <w:sz w:val="22"/>
              </w:rPr>
              <w:t>Critère observable</w:t>
            </w:r>
          </w:p>
        </w:tc>
        <w:tc>
          <w:tcPr>
            <w:tcW w:type="dxa" w:w="1134"/>
            <w:shd w:val="clear" w:color="auto" w:fill="1B3A6B"/>
          </w:tcPr>
          <w:p>
            <w:r/>
            <w:r>
              <w:rPr>
                <w:b/>
                <w:color w:val="FFFFFF"/>
                <w:sz w:val="22"/>
              </w:rPr>
              <w:t>Non acquis (0)</w:t>
            </w:r>
          </w:p>
        </w:tc>
        <w:tc>
          <w:tcPr>
            <w:tcW w:type="dxa" w:w="1134"/>
            <w:shd w:val="clear" w:color="auto" w:fill="1B3A6B"/>
          </w:tcPr>
          <w:p>
            <w:r/>
            <w:r>
              <w:rPr>
                <w:b/>
                <w:color w:val="FFFFFF"/>
                <w:sz w:val="22"/>
              </w:rPr>
              <w:t>En cours (1)</w:t>
            </w:r>
          </w:p>
        </w:tc>
        <w:tc>
          <w:tcPr>
            <w:tcW w:type="dxa" w:w="1134"/>
            <w:shd w:val="clear" w:color="auto" w:fill="1B3A6B"/>
          </w:tcPr>
          <w:p>
            <w:r/>
            <w:r>
              <w:rPr>
                <w:b/>
                <w:color w:val="FFFFFF"/>
                <w:sz w:val="22"/>
              </w:rPr>
              <w:t>Acquis (2)</w:t>
            </w:r>
          </w:p>
        </w:tc>
        <w:tc>
          <w:tcPr>
            <w:tcW w:type="dxa" w:w="1134"/>
            <w:shd w:val="clear" w:color="auto" w:fill="1B3A6B"/>
          </w:tcPr>
          <w:p>
            <w:r/>
            <w:r>
              <w:rPr>
                <w:b/>
                <w:color w:val="FFFFFF"/>
                <w:sz w:val="22"/>
              </w:rPr>
              <w:t>Maîtrisé (3)</w:t>
            </w:r>
          </w:p>
        </w:tc>
      </w:tr>
      <w:tr>
        <w:tc>
          <w:tcPr>
            <w:tcW w:type="dxa" w:w="1984"/>
          </w:tcPr>
          <w:p>
            <w:r/>
            <w:r>
              <w:rPr>
                <w:b w:val="0"/>
                <w:sz w:val="22"/>
              </w:rPr>
              <w:t>Développer une vision systémique de la structure</w:t>
            </w:r>
          </w:p>
        </w:tc>
        <w:tc>
          <w:tcPr>
            <w:tcW w:type="dxa" w:w="3118"/>
          </w:tcPr>
          <w:p>
            <w:r/>
            <w:r>
              <w:rPr>
                <w:b w:val="0"/>
                <w:sz w:val="22"/>
              </w:rPr>
              <w:t>Analyser une structure dans son environnement et ses interactions.</w:t>
            </w:r>
          </w:p>
        </w:tc>
        <w:tc>
          <w:tcPr>
            <w:tcW w:type="dxa" w:w="1134"/>
          </w:tcPr>
          <w:p>
            <w:r/>
          </w:p>
        </w:tc>
        <w:tc>
          <w:tcPr>
            <w:tcW w:type="dxa" w:w="1134"/>
          </w:tcPr>
          <w:p>
            <w:r/>
          </w:p>
        </w:tc>
        <w:tc>
          <w:tcPr>
            <w:tcW w:type="dxa" w:w="1134"/>
          </w:tcPr>
          <w:p>
            <w:r/>
          </w:p>
        </w:tc>
        <w:tc>
          <w:tcPr>
            <w:tcW w:type="dxa" w:w="1134"/>
          </w:tcPr>
          <w:p>
            <w:r/>
          </w:p>
        </w:tc>
      </w:tr>
      <w:tr>
        <w:tc>
          <w:tcPr>
            <w:tcW w:type="dxa" w:w="1984"/>
            <w:shd w:val="clear" w:color="auto" w:fill="F2F2F2"/>
          </w:tcPr>
          <w:p>
            <w:r/>
            <w:r>
              <w:rPr>
                <w:b w:val="0"/>
                <w:sz w:val="22"/>
              </w:rPr>
              <w:t>Inscrire la structure dans son territoire</w:t>
            </w:r>
          </w:p>
        </w:tc>
        <w:tc>
          <w:tcPr>
            <w:tcW w:type="dxa" w:w="3118"/>
            <w:shd w:val="clear" w:color="auto" w:fill="F2F2F2"/>
          </w:tcPr>
          <w:p>
            <w:r/>
            <w:r>
              <w:rPr>
                <w:b w:val="0"/>
                <w:sz w:val="22"/>
              </w:rPr>
              <w:t>Positionner la structure dans l'écosystème local et ses réseaux.</w:t>
            </w:r>
          </w:p>
        </w:tc>
        <w:tc>
          <w:tcPr>
            <w:tcW w:type="dxa" w:w="1134"/>
            <w:shd w:val="clear" w:color="auto" w:fill="F2F2F2"/>
          </w:tcPr>
          <w:p>
            <w:r/>
          </w:p>
        </w:tc>
        <w:tc>
          <w:tcPr>
            <w:tcW w:type="dxa" w:w="1134"/>
            <w:shd w:val="clear" w:color="auto" w:fill="F2F2F2"/>
          </w:tcPr>
          <w:p>
            <w:r/>
          </w:p>
        </w:tc>
        <w:tc>
          <w:tcPr>
            <w:tcW w:type="dxa" w:w="1134"/>
            <w:shd w:val="clear" w:color="auto" w:fill="F2F2F2"/>
          </w:tcPr>
          <w:p>
            <w:r/>
          </w:p>
        </w:tc>
        <w:tc>
          <w:tcPr>
            <w:tcW w:type="dxa" w:w="1134"/>
            <w:shd w:val="clear" w:color="auto" w:fill="F2F2F2"/>
          </w:tcPr>
          <w:p>
            <w:r/>
          </w:p>
        </w:tc>
      </w:tr>
      <w:tr>
        <w:tc>
          <w:tcPr>
            <w:tcW w:type="dxa" w:w="1984"/>
          </w:tcPr>
          <w:p>
            <w:r/>
            <w:r>
              <w:rPr>
                <w:b w:val="0"/>
                <w:sz w:val="22"/>
              </w:rPr>
              <w:t>Manager et animer une équipe</w:t>
            </w:r>
          </w:p>
        </w:tc>
        <w:tc>
          <w:tcPr>
            <w:tcW w:type="dxa" w:w="3118"/>
          </w:tcPr>
          <w:p>
            <w:r/>
            <w:r>
              <w:rPr>
                <w:b w:val="0"/>
                <w:sz w:val="22"/>
              </w:rPr>
              <w:t>Diriger au quotidien une équipe en respectant le droit du travail et la QVCT.</w:t>
            </w:r>
          </w:p>
        </w:tc>
        <w:tc>
          <w:tcPr>
            <w:tcW w:type="dxa" w:w="1134"/>
          </w:tcPr>
          <w:p>
            <w:r/>
          </w:p>
        </w:tc>
        <w:tc>
          <w:tcPr>
            <w:tcW w:type="dxa" w:w="1134"/>
          </w:tcPr>
          <w:p>
            <w:r/>
          </w:p>
        </w:tc>
        <w:tc>
          <w:tcPr>
            <w:tcW w:type="dxa" w:w="1134"/>
          </w:tcPr>
          <w:p>
            <w:r/>
          </w:p>
        </w:tc>
        <w:tc>
          <w:tcPr>
            <w:tcW w:type="dxa" w:w="1134"/>
          </w:tcPr>
          <w:p>
            <w:r/>
          </w:p>
        </w:tc>
      </w:tr>
    </w:tbl>
    <w:p/>
    <w:p>
      <w:r>
        <w:rPr>
          <w:b w:val="0"/>
        </w:rPr>
        <w:t xml:space="preserve">Commentaire du formateur : </w:t>
      </w:r>
      <w:r>
        <w:rPr>
          <w:b w:val="0"/>
        </w:rPr>
        <w:t>____________________________________________</w:t>
      </w:r>
    </w:p>
    <w:tbl>
      <w:tblPr>
        <w:tblStyle w:val="TableGrid"/>
        <w:tblW w:type="auto" w:w="0"/>
        <w:tblLook w:firstColumn="1" w:firstRow="1" w:lastColumn="0" w:lastRow="0" w:noHBand="0" w:noVBand="1" w:val="04A0"/>
      </w:tblPr>
      <w:tblGrid>
        <w:gridCol w:w="4819"/>
        <w:gridCol w:w="4819"/>
      </w:tblGrid>
      <w:tr>
        <w:tc>
          <w:tcPr>
            <w:tcW w:type="dxa" w:w="4819"/>
            <w:shd w:val="clear" w:color="auto" w:fill="F2F2F2"/>
          </w:tcPr>
          <w:p>
            <w:r>
              <w:rPr>
                <w:b/>
                <w:sz w:val="22"/>
              </w:rPr>
              <w:t>Stagiaire</w:t>
            </w:r>
          </w:p>
        </w:tc>
        <w:tc>
          <w:tcPr>
            <w:tcW w:type="dxa" w:w="4819"/>
            <w:shd w:val="clear" w:color="auto" w:fill="F2F2F2"/>
          </w:tcPr>
          <w:p>
            <w:r>
              <w:rPr>
                <w:b/>
                <w:sz w:val="22"/>
              </w:rPr>
              <w:t>Formateur</w:t>
            </w:r>
          </w:p>
        </w:tc>
      </w:tr>
      <w:tr>
        <w:tc>
          <w:tcPr>
            <w:tcW w:type="dxa" w:w="4819"/>
          </w:tcPr>
          <w:p>
            <w:r>
              <w:rPr>
                <w:b w:val="0"/>
                <w:sz w:val="22"/>
              </w:rPr>
              <w:t>Date :</w:t>
              <w:br/>
              <w:br/>
              <w:t>Signature :</w:t>
              <w:br/>
              <w:br/>
              <w:br/>
            </w:r>
          </w:p>
        </w:tc>
        <w:tc>
          <w:tcPr>
            <w:tcW w:type="dxa" w:w="4819"/>
          </w:tcPr>
          <w:p>
            <w:r>
              <w:rPr>
                <w:b w:val="0"/>
                <w:sz w:val="22"/>
              </w:rPr>
              <w:t>Date :</w:t>
              <w:br/>
              <w:br/>
              <w:t>Signature :</w:t>
              <w:br/>
              <w:br/>
              <w:br/>
            </w:r>
          </w:p>
        </w:tc>
      </w:tr>
    </w:tbl>
    <w:p/>
    <w:p>
      <w:pPr>
        <w:pStyle w:val="Heading2"/>
      </w:pPr>
      <w:r>
        <w:t>CCP2 — RNCP38575BC02 — Mettre en œuvre l'objet social de la structure</w:t>
      </w:r>
    </w:p>
    <w:tbl>
      <w:tblPr>
        <w:tblStyle w:val="TableGrid"/>
        <w:tblW w:type="auto" w:w="0"/>
        <w:jc w:val="center"/>
        <w:tblLayout w:type="fixed"/>
        <w:tblLook w:firstColumn="1" w:firstRow="1" w:lastColumn="0" w:lastRow="0" w:noHBand="0" w:noVBand="1" w:val="04A0"/>
      </w:tblPr>
      <w:tblGrid>
        <w:gridCol w:w="1984"/>
        <w:gridCol w:w="3118"/>
        <w:gridCol w:w="1134"/>
        <w:gridCol w:w="1134"/>
        <w:gridCol w:w="1134"/>
        <w:gridCol w:w="1134"/>
      </w:tblGrid>
      <w:tr>
        <w:trPr>
          <w:tblHeader w:val="true"/>
        </w:trPr>
        <w:tc>
          <w:tcPr>
            <w:tcW w:type="dxa" w:w="1984"/>
            <w:shd w:val="clear" w:color="auto" w:fill="1B3A6B"/>
          </w:tcPr>
          <w:p>
            <w:r/>
            <w:r>
              <w:rPr>
                <w:b/>
                <w:color w:val="FFFFFF"/>
                <w:sz w:val="22"/>
              </w:rPr>
              <w:t>Compétence</w:t>
            </w:r>
          </w:p>
        </w:tc>
        <w:tc>
          <w:tcPr>
            <w:tcW w:type="dxa" w:w="3118"/>
            <w:shd w:val="clear" w:color="auto" w:fill="1B3A6B"/>
          </w:tcPr>
          <w:p>
            <w:r/>
            <w:r>
              <w:rPr>
                <w:b/>
                <w:color w:val="FFFFFF"/>
                <w:sz w:val="22"/>
              </w:rPr>
              <w:t>Critère observable</w:t>
            </w:r>
          </w:p>
        </w:tc>
        <w:tc>
          <w:tcPr>
            <w:tcW w:type="dxa" w:w="1134"/>
            <w:shd w:val="clear" w:color="auto" w:fill="1B3A6B"/>
          </w:tcPr>
          <w:p>
            <w:r/>
            <w:r>
              <w:rPr>
                <w:b/>
                <w:color w:val="FFFFFF"/>
                <w:sz w:val="22"/>
              </w:rPr>
              <w:t>Non acquis (0)</w:t>
            </w:r>
          </w:p>
        </w:tc>
        <w:tc>
          <w:tcPr>
            <w:tcW w:type="dxa" w:w="1134"/>
            <w:shd w:val="clear" w:color="auto" w:fill="1B3A6B"/>
          </w:tcPr>
          <w:p>
            <w:r/>
            <w:r>
              <w:rPr>
                <w:b/>
                <w:color w:val="FFFFFF"/>
                <w:sz w:val="22"/>
              </w:rPr>
              <w:t>En cours (1)</w:t>
            </w:r>
          </w:p>
        </w:tc>
        <w:tc>
          <w:tcPr>
            <w:tcW w:type="dxa" w:w="1134"/>
            <w:shd w:val="clear" w:color="auto" w:fill="1B3A6B"/>
          </w:tcPr>
          <w:p>
            <w:r/>
            <w:r>
              <w:rPr>
                <w:b/>
                <w:color w:val="FFFFFF"/>
                <w:sz w:val="22"/>
              </w:rPr>
              <w:t>Acquis (2)</w:t>
            </w:r>
          </w:p>
        </w:tc>
        <w:tc>
          <w:tcPr>
            <w:tcW w:type="dxa" w:w="1134"/>
            <w:shd w:val="clear" w:color="auto" w:fill="1B3A6B"/>
          </w:tcPr>
          <w:p>
            <w:r/>
            <w:r>
              <w:rPr>
                <w:b/>
                <w:color w:val="FFFFFF"/>
                <w:sz w:val="22"/>
              </w:rPr>
              <w:t>Maîtrisé (3)</w:t>
            </w:r>
          </w:p>
        </w:tc>
      </w:tr>
      <w:tr>
        <w:tc>
          <w:tcPr>
            <w:tcW w:type="dxa" w:w="1984"/>
          </w:tcPr>
          <w:p>
            <w:r/>
            <w:r>
              <w:rPr>
                <w:b w:val="0"/>
                <w:sz w:val="22"/>
              </w:rPr>
              <w:t>Adapter l'offre de la structure à la demande</w:t>
            </w:r>
          </w:p>
        </w:tc>
        <w:tc>
          <w:tcPr>
            <w:tcW w:type="dxa" w:w="3118"/>
          </w:tcPr>
          <w:p>
            <w:r/>
            <w:r>
              <w:rPr>
                <w:b w:val="0"/>
                <w:sz w:val="22"/>
              </w:rPr>
              <w:t>Analyser le marché et faire évoluer l'offre de biens et services.</w:t>
            </w:r>
          </w:p>
        </w:tc>
        <w:tc>
          <w:tcPr>
            <w:tcW w:type="dxa" w:w="1134"/>
          </w:tcPr>
          <w:p>
            <w:r/>
          </w:p>
        </w:tc>
        <w:tc>
          <w:tcPr>
            <w:tcW w:type="dxa" w:w="1134"/>
          </w:tcPr>
          <w:p>
            <w:r/>
          </w:p>
        </w:tc>
        <w:tc>
          <w:tcPr>
            <w:tcW w:type="dxa" w:w="1134"/>
          </w:tcPr>
          <w:p>
            <w:r/>
          </w:p>
        </w:tc>
        <w:tc>
          <w:tcPr>
            <w:tcW w:type="dxa" w:w="1134"/>
          </w:tcPr>
          <w:p>
            <w:r/>
          </w:p>
        </w:tc>
      </w:tr>
      <w:tr>
        <w:tc>
          <w:tcPr>
            <w:tcW w:type="dxa" w:w="1984"/>
            <w:shd w:val="clear" w:color="auto" w:fill="F2F2F2"/>
          </w:tcPr>
          <w:p>
            <w:r/>
            <w:r>
              <w:rPr>
                <w:b w:val="0"/>
                <w:sz w:val="22"/>
              </w:rPr>
              <w:t>Organiser et développer la diffusion de l'offre</w:t>
            </w:r>
          </w:p>
        </w:tc>
        <w:tc>
          <w:tcPr>
            <w:tcW w:type="dxa" w:w="3118"/>
            <w:shd w:val="clear" w:color="auto" w:fill="F2F2F2"/>
          </w:tcPr>
          <w:p>
            <w:r/>
            <w:r>
              <w:rPr>
                <w:b w:val="0"/>
                <w:sz w:val="22"/>
              </w:rPr>
              <w:t>Construire et piloter un plan d'action commercial.</w:t>
            </w:r>
          </w:p>
        </w:tc>
        <w:tc>
          <w:tcPr>
            <w:tcW w:type="dxa" w:w="1134"/>
            <w:shd w:val="clear" w:color="auto" w:fill="F2F2F2"/>
          </w:tcPr>
          <w:p>
            <w:r/>
          </w:p>
        </w:tc>
        <w:tc>
          <w:tcPr>
            <w:tcW w:type="dxa" w:w="1134"/>
            <w:shd w:val="clear" w:color="auto" w:fill="F2F2F2"/>
          </w:tcPr>
          <w:p>
            <w:r/>
          </w:p>
        </w:tc>
        <w:tc>
          <w:tcPr>
            <w:tcW w:type="dxa" w:w="1134"/>
            <w:shd w:val="clear" w:color="auto" w:fill="F2F2F2"/>
          </w:tcPr>
          <w:p>
            <w:r/>
          </w:p>
        </w:tc>
        <w:tc>
          <w:tcPr>
            <w:tcW w:type="dxa" w:w="1134"/>
            <w:shd w:val="clear" w:color="auto" w:fill="F2F2F2"/>
          </w:tcPr>
          <w:p>
            <w:r/>
          </w:p>
        </w:tc>
      </w:tr>
      <w:tr>
        <w:tc>
          <w:tcPr>
            <w:tcW w:type="dxa" w:w="1984"/>
          </w:tcPr>
          <w:p>
            <w:r/>
            <w:r>
              <w:rPr>
                <w:b w:val="0"/>
                <w:sz w:val="22"/>
              </w:rPr>
              <w:t>Organiser la production</w:t>
            </w:r>
          </w:p>
        </w:tc>
        <w:tc>
          <w:tcPr>
            <w:tcW w:type="dxa" w:w="3118"/>
          </w:tcPr>
          <w:p>
            <w:r/>
            <w:r>
              <w:rPr>
                <w:b w:val="0"/>
                <w:sz w:val="22"/>
              </w:rPr>
              <w:t>Organiser la production de biens ou de services avec qualité et efficience.</w:t>
            </w:r>
          </w:p>
        </w:tc>
        <w:tc>
          <w:tcPr>
            <w:tcW w:type="dxa" w:w="1134"/>
          </w:tcPr>
          <w:p>
            <w:r/>
          </w:p>
        </w:tc>
        <w:tc>
          <w:tcPr>
            <w:tcW w:type="dxa" w:w="1134"/>
          </w:tcPr>
          <w:p>
            <w:r/>
          </w:p>
        </w:tc>
        <w:tc>
          <w:tcPr>
            <w:tcW w:type="dxa" w:w="1134"/>
          </w:tcPr>
          <w:p>
            <w:r/>
          </w:p>
        </w:tc>
        <w:tc>
          <w:tcPr>
            <w:tcW w:type="dxa" w:w="1134"/>
          </w:tcPr>
          <w:p>
            <w:r/>
          </w:p>
        </w:tc>
      </w:tr>
    </w:tbl>
    <w:p/>
    <w:p>
      <w:r>
        <w:rPr>
          <w:b w:val="0"/>
        </w:rPr>
        <w:t xml:space="preserve">Commentaire du formateur : </w:t>
      </w:r>
      <w:r>
        <w:rPr>
          <w:b w:val="0"/>
        </w:rPr>
        <w:t>____________________________________________</w:t>
      </w:r>
    </w:p>
    <w:tbl>
      <w:tblPr>
        <w:tblStyle w:val="TableGrid"/>
        <w:tblW w:type="auto" w:w="0"/>
        <w:tblLook w:firstColumn="1" w:firstRow="1" w:lastColumn="0" w:lastRow="0" w:noHBand="0" w:noVBand="1" w:val="04A0"/>
      </w:tblPr>
      <w:tblGrid>
        <w:gridCol w:w="4819"/>
        <w:gridCol w:w="4819"/>
      </w:tblGrid>
      <w:tr>
        <w:tc>
          <w:tcPr>
            <w:tcW w:type="dxa" w:w="4819"/>
            <w:shd w:val="clear" w:color="auto" w:fill="F2F2F2"/>
          </w:tcPr>
          <w:p>
            <w:r>
              <w:rPr>
                <w:b/>
                <w:sz w:val="22"/>
              </w:rPr>
              <w:t>Stagiaire</w:t>
            </w:r>
          </w:p>
        </w:tc>
        <w:tc>
          <w:tcPr>
            <w:tcW w:type="dxa" w:w="4819"/>
            <w:shd w:val="clear" w:color="auto" w:fill="F2F2F2"/>
          </w:tcPr>
          <w:p>
            <w:r>
              <w:rPr>
                <w:b/>
                <w:sz w:val="22"/>
              </w:rPr>
              <w:t>Formateur</w:t>
            </w:r>
          </w:p>
        </w:tc>
      </w:tr>
      <w:tr>
        <w:tc>
          <w:tcPr>
            <w:tcW w:type="dxa" w:w="4819"/>
          </w:tcPr>
          <w:p>
            <w:r>
              <w:rPr>
                <w:b w:val="0"/>
                <w:sz w:val="22"/>
              </w:rPr>
              <w:t>Date :</w:t>
              <w:br/>
              <w:br/>
              <w:t>Signature :</w:t>
              <w:br/>
              <w:br/>
              <w:br/>
            </w:r>
          </w:p>
        </w:tc>
        <w:tc>
          <w:tcPr>
            <w:tcW w:type="dxa" w:w="4819"/>
          </w:tcPr>
          <w:p>
            <w:r>
              <w:rPr>
                <w:b w:val="0"/>
                <w:sz w:val="22"/>
              </w:rPr>
              <w:t>Date :</w:t>
              <w:br/>
              <w:br/>
              <w:t>Signature :</w:t>
              <w:br/>
              <w:br/>
              <w:br/>
            </w:r>
          </w:p>
        </w:tc>
      </w:tr>
    </w:tbl>
    <w:p/>
    <w:p>
      <w:pPr>
        <w:pStyle w:val="Heading2"/>
      </w:pPr>
      <w:r>
        <w:t>CCP3 — RNCP38575BC03 — Établir et présenter un rapport d'activité de la structure</w:t>
      </w:r>
    </w:p>
    <w:tbl>
      <w:tblPr>
        <w:tblStyle w:val="TableGrid"/>
        <w:tblW w:type="auto" w:w="0"/>
        <w:jc w:val="center"/>
        <w:tblLayout w:type="fixed"/>
        <w:tblLook w:firstColumn="1" w:firstRow="1" w:lastColumn="0" w:lastRow="0" w:noHBand="0" w:noVBand="1" w:val="04A0"/>
      </w:tblPr>
      <w:tblGrid>
        <w:gridCol w:w="1984"/>
        <w:gridCol w:w="3118"/>
        <w:gridCol w:w="1134"/>
        <w:gridCol w:w="1134"/>
        <w:gridCol w:w="1134"/>
        <w:gridCol w:w="1134"/>
      </w:tblGrid>
      <w:tr>
        <w:trPr>
          <w:tblHeader w:val="true"/>
        </w:trPr>
        <w:tc>
          <w:tcPr>
            <w:tcW w:type="dxa" w:w="1984"/>
            <w:shd w:val="clear" w:color="auto" w:fill="1B3A6B"/>
          </w:tcPr>
          <w:p>
            <w:r/>
            <w:r>
              <w:rPr>
                <w:b/>
                <w:color w:val="FFFFFF"/>
                <w:sz w:val="22"/>
              </w:rPr>
              <w:t>Compétence</w:t>
            </w:r>
          </w:p>
        </w:tc>
        <w:tc>
          <w:tcPr>
            <w:tcW w:type="dxa" w:w="3118"/>
            <w:shd w:val="clear" w:color="auto" w:fill="1B3A6B"/>
          </w:tcPr>
          <w:p>
            <w:r/>
            <w:r>
              <w:rPr>
                <w:b/>
                <w:color w:val="FFFFFF"/>
                <w:sz w:val="22"/>
              </w:rPr>
              <w:t>Critère observable</w:t>
            </w:r>
          </w:p>
        </w:tc>
        <w:tc>
          <w:tcPr>
            <w:tcW w:type="dxa" w:w="1134"/>
            <w:shd w:val="clear" w:color="auto" w:fill="1B3A6B"/>
          </w:tcPr>
          <w:p>
            <w:r/>
            <w:r>
              <w:rPr>
                <w:b/>
                <w:color w:val="FFFFFF"/>
                <w:sz w:val="22"/>
              </w:rPr>
              <w:t>Non acquis (0)</w:t>
            </w:r>
          </w:p>
        </w:tc>
        <w:tc>
          <w:tcPr>
            <w:tcW w:type="dxa" w:w="1134"/>
            <w:shd w:val="clear" w:color="auto" w:fill="1B3A6B"/>
          </w:tcPr>
          <w:p>
            <w:r/>
            <w:r>
              <w:rPr>
                <w:b/>
                <w:color w:val="FFFFFF"/>
                <w:sz w:val="22"/>
              </w:rPr>
              <w:t>En cours (1)</w:t>
            </w:r>
          </w:p>
        </w:tc>
        <w:tc>
          <w:tcPr>
            <w:tcW w:type="dxa" w:w="1134"/>
            <w:shd w:val="clear" w:color="auto" w:fill="1B3A6B"/>
          </w:tcPr>
          <w:p>
            <w:r/>
            <w:r>
              <w:rPr>
                <w:b/>
                <w:color w:val="FFFFFF"/>
                <w:sz w:val="22"/>
              </w:rPr>
              <w:t>Acquis (2)</w:t>
            </w:r>
          </w:p>
        </w:tc>
        <w:tc>
          <w:tcPr>
            <w:tcW w:type="dxa" w:w="1134"/>
            <w:shd w:val="clear" w:color="auto" w:fill="1B3A6B"/>
          </w:tcPr>
          <w:p>
            <w:r/>
            <w:r>
              <w:rPr>
                <w:b/>
                <w:color w:val="FFFFFF"/>
                <w:sz w:val="22"/>
              </w:rPr>
              <w:t>Maîtrisé (3)</w:t>
            </w:r>
          </w:p>
        </w:tc>
      </w:tr>
      <w:tr>
        <w:tc>
          <w:tcPr>
            <w:tcW w:type="dxa" w:w="1984"/>
          </w:tcPr>
          <w:p>
            <w:r/>
            <w:r>
              <w:rPr>
                <w:b w:val="0"/>
                <w:sz w:val="22"/>
              </w:rPr>
              <w:t>Analyser le bilan de la structure</w:t>
            </w:r>
          </w:p>
        </w:tc>
        <w:tc>
          <w:tcPr>
            <w:tcW w:type="dxa" w:w="3118"/>
          </w:tcPr>
          <w:p>
            <w:r/>
            <w:r>
              <w:rPr>
                <w:b w:val="0"/>
                <w:sz w:val="22"/>
              </w:rPr>
              <w:t>Lire et interpréter un bilan.</w:t>
            </w:r>
          </w:p>
        </w:tc>
        <w:tc>
          <w:tcPr>
            <w:tcW w:type="dxa" w:w="1134"/>
          </w:tcPr>
          <w:p>
            <w:r/>
          </w:p>
        </w:tc>
        <w:tc>
          <w:tcPr>
            <w:tcW w:type="dxa" w:w="1134"/>
          </w:tcPr>
          <w:p>
            <w:r/>
          </w:p>
        </w:tc>
        <w:tc>
          <w:tcPr>
            <w:tcW w:type="dxa" w:w="1134"/>
          </w:tcPr>
          <w:p>
            <w:r/>
          </w:p>
        </w:tc>
        <w:tc>
          <w:tcPr>
            <w:tcW w:type="dxa" w:w="1134"/>
          </w:tcPr>
          <w:p>
            <w:r/>
          </w:p>
        </w:tc>
      </w:tr>
      <w:tr>
        <w:tc>
          <w:tcPr>
            <w:tcW w:type="dxa" w:w="1984"/>
            <w:shd w:val="clear" w:color="auto" w:fill="F2F2F2"/>
          </w:tcPr>
          <w:p>
            <w:r/>
            <w:r>
              <w:rPr>
                <w:b w:val="0"/>
                <w:sz w:val="22"/>
              </w:rPr>
              <w:t>Analyser le compte de résultat de la structure</w:t>
            </w:r>
          </w:p>
        </w:tc>
        <w:tc>
          <w:tcPr>
            <w:tcW w:type="dxa" w:w="3118"/>
            <w:shd w:val="clear" w:color="auto" w:fill="F2F2F2"/>
          </w:tcPr>
          <w:p>
            <w:r/>
            <w:r>
              <w:rPr>
                <w:b w:val="0"/>
                <w:sz w:val="22"/>
              </w:rPr>
              <w:t>Interpréter le compte de résultat et piloter la rentabilité.</w:t>
            </w:r>
          </w:p>
        </w:tc>
        <w:tc>
          <w:tcPr>
            <w:tcW w:type="dxa" w:w="1134"/>
            <w:shd w:val="clear" w:color="auto" w:fill="F2F2F2"/>
          </w:tcPr>
          <w:p>
            <w:r/>
          </w:p>
        </w:tc>
        <w:tc>
          <w:tcPr>
            <w:tcW w:type="dxa" w:w="1134"/>
            <w:shd w:val="clear" w:color="auto" w:fill="F2F2F2"/>
          </w:tcPr>
          <w:p>
            <w:r/>
          </w:p>
        </w:tc>
        <w:tc>
          <w:tcPr>
            <w:tcW w:type="dxa" w:w="1134"/>
            <w:shd w:val="clear" w:color="auto" w:fill="F2F2F2"/>
          </w:tcPr>
          <w:p>
            <w:r/>
          </w:p>
        </w:tc>
        <w:tc>
          <w:tcPr>
            <w:tcW w:type="dxa" w:w="1134"/>
            <w:shd w:val="clear" w:color="auto" w:fill="F2F2F2"/>
          </w:tcPr>
          <w:p>
            <w:r/>
          </w:p>
        </w:tc>
      </w:tr>
      <w:tr>
        <w:tc>
          <w:tcPr>
            <w:tcW w:type="dxa" w:w="1984"/>
          </w:tcPr>
          <w:p>
            <w:r/>
            <w:r>
              <w:rPr>
                <w:b w:val="0"/>
                <w:sz w:val="22"/>
              </w:rPr>
              <w:t>Rédiger le rapport d'activité de la structure</w:t>
            </w:r>
          </w:p>
        </w:tc>
        <w:tc>
          <w:tcPr>
            <w:tcW w:type="dxa" w:w="3118"/>
          </w:tcPr>
          <w:p>
            <w:r/>
            <w:r>
              <w:rPr>
                <w:b w:val="0"/>
                <w:sz w:val="22"/>
              </w:rPr>
              <w:t>Produire et présenter un rapport d'activité clair à la gouvernance.</w:t>
            </w:r>
          </w:p>
        </w:tc>
        <w:tc>
          <w:tcPr>
            <w:tcW w:type="dxa" w:w="1134"/>
          </w:tcPr>
          <w:p>
            <w:r/>
          </w:p>
        </w:tc>
        <w:tc>
          <w:tcPr>
            <w:tcW w:type="dxa" w:w="1134"/>
          </w:tcPr>
          <w:p>
            <w:r/>
          </w:p>
        </w:tc>
        <w:tc>
          <w:tcPr>
            <w:tcW w:type="dxa" w:w="1134"/>
          </w:tcPr>
          <w:p>
            <w:r/>
          </w:p>
        </w:tc>
        <w:tc>
          <w:tcPr>
            <w:tcW w:type="dxa" w:w="1134"/>
          </w:tcPr>
          <w:p>
            <w:r/>
          </w:p>
        </w:tc>
      </w:tr>
    </w:tbl>
    <w:p/>
    <w:p>
      <w:r>
        <w:rPr>
          <w:b w:val="0"/>
        </w:rPr>
        <w:t xml:space="preserve">Commentaire du formateur : </w:t>
      </w:r>
      <w:r>
        <w:rPr>
          <w:b w:val="0"/>
        </w:rPr>
        <w:t>____________________________________________</w:t>
      </w:r>
    </w:p>
    <w:tbl>
      <w:tblPr>
        <w:tblStyle w:val="TableGrid"/>
        <w:tblW w:type="auto" w:w="0"/>
        <w:tblLook w:firstColumn="1" w:firstRow="1" w:lastColumn="0" w:lastRow="0" w:noHBand="0" w:noVBand="1" w:val="04A0"/>
      </w:tblPr>
      <w:tblGrid>
        <w:gridCol w:w="4819"/>
        <w:gridCol w:w="4819"/>
      </w:tblGrid>
      <w:tr>
        <w:tc>
          <w:tcPr>
            <w:tcW w:type="dxa" w:w="4819"/>
            <w:shd w:val="clear" w:color="auto" w:fill="F2F2F2"/>
          </w:tcPr>
          <w:p>
            <w:r>
              <w:rPr>
                <w:b/>
                <w:sz w:val="22"/>
              </w:rPr>
              <w:t>Stagiaire</w:t>
            </w:r>
          </w:p>
        </w:tc>
        <w:tc>
          <w:tcPr>
            <w:tcW w:type="dxa" w:w="4819"/>
            <w:shd w:val="clear" w:color="auto" w:fill="F2F2F2"/>
          </w:tcPr>
          <w:p>
            <w:r>
              <w:rPr>
                <w:b/>
                <w:sz w:val="22"/>
              </w:rPr>
              <w:t>Formateur</w:t>
            </w:r>
          </w:p>
        </w:tc>
      </w:tr>
      <w:tr>
        <w:tc>
          <w:tcPr>
            <w:tcW w:type="dxa" w:w="4819"/>
          </w:tcPr>
          <w:p>
            <w:r>
              <w:rPr>
                <w:b w:val="0"/>
                <w:sz w:val="22"/>
              </w:rPr>
              <w:t>Date :</w:t>
              <w:br/>
              <w:br/>
              <w:t>Signature :</w:t>
              <w:br/>
              <w:br/>
              <w:br/>
            </w:r>
          </w:p>
        </w:tc>
        <w:tc>
          <w:tcPr>
            <w:tcW w:type="dxa" w:w="4819"/>
          </w:tcPr>
          <w:p>
            <w:r>
              <w:rPr>
                <w:b w:val="0"/>
                <w:sz w:val="22"/>
              </w:rPr>
              <w:t>Date :</w:t>
              <w:br/>
              <w:br/>
              <w:t>Signature :</w:t>
              <w:br/>
              <w:br/>
              <w:br/>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DP-RPMS  —  YEBA FORMATIONS — SIRET 814 622 262 00032 — Version 2026-10 — Page </w:t>
    </w:r>
    <w:r>
      <w:rPr>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76510" cy="576000"/>
          <wp:docPr id="1" name="Picture 1"/>
          <wp:cNvGraphicFramePr>
            <a:graphicFrameLocks noChangeAspect="1"/>
          </wp:cNvGraphicFramePr>
          <a:graphic>
            <a:graphicData uri="http://schemas.openxmlformats.org/drawingml/2006/picture">
              <pic:pic>
                <pic:nvPicPr>
                  <pic:cNvPr id="0" name="logo_yeba_formations.png"/>
                  <pic:cNvPicPr/>
                </pic:nvPicPr>
                <pic:blipFill>
                  <a:blip r:embed="rId1"/>
                  <a:stretch>
                    <a:fillRect/>
                  </a:stretch>
                </pic:blipFill>
                <pic:spPr>
                  <a:xfrm>
                    <a:off x="0" y="0"/>
                    <a:ext cx="676510" cy="576000"/>
                  </a:xfrm>
                  <a:prstGeom prst="rect"/>
                </pic:spPr>
              </pic:pic>
            </a:graphicData>
          </a:graphic>
        </wp:inline>
      </w:drawing>
    </w:r>
    <w:r>
      <w:rPr>
        <w:color w:val="1B3A6B"/>
        <w:sz w:val="18"/>
      </w:rPr>
      <w:t xml:space="preserve">    YEBA FORMATIONS  |  NDA 04973676397  |  Qualiopi 25FOR02027.1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6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C9A94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Déroulé pédagogique et grilles critériées — Titre professionnel Responsable de petite ou moyenne structure</dc:title>
  <dc:subject/>
  <dc:creator>YEBA FORMATIONS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