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Programme de formation — Titre professionnel Responsable de petite ou moyenne structure</w:t>
      </w:r>
    </w:p>
    <w:p>
      <w:r>
        <w:rPr>
          <w:b/>
          <w:color w:val="C9A94D"/>
          <w:sz w:val="28"/>
        </w:rPr>
        <w:t>RNCP38575 • Niveau 5 (cadre national des certifications) • 595 h en centre + 210 h en entreprise</w:t>
      </w:r>
    </w:p>
    <w:p>
      <w:pPr>
        <w:pBdr>
          <w:bottom w:val="single" w:sz="18" w:space="1" w:color="C9A94D"/>
        </w:pBdr>
      </w:pPr>
    </w:p>
    <w:p>
      <w:pPr>
        <w:pStyle w:val="Heading1"/>
      </w:pPr>
      <w:r>
        <w:t>1. Identification</w:t>
      </w:r>
    </w:p>
    <w:tbl>
      <w:tblPr>
        <w:tblStyle w:val="TableGrid"/>
        <w:tblW w:type="auto" w:w="0"/>
        <w:jc w:val="center"/>
        <w:tblLayout w:type="fixed"/>
        <w:tblLook w:firstColumn="1" w:firstRow="1" w:lastColumn="0" w:lastRow="0" w:noHBand="0" w:noVBand="1" w:val="04A0"/>
      </w:tblPr>
      <w:tblGrid>
        <w:gridCol w:w="2835"/>
        <w:gridCol w:w="6804"/>
      </w:tblGrid>
      <w:tr>
        <w:trPr>
          <w:tblHeader w:val="true"/>
        </w:trPr>
        <w:tc>
          <w:tcPr>
            <w:tcW w:type="dxa" w:w="2835"/>
            <w:shd w:val="clear" w:color="auto" w:fill="1B3A6B"/>
          </w:tcPr>
          <w:p>
            <w:r/>
            <w:r>
              <w:rPr>
                <w:b/>
                <w:color w:val="FFFFFF"/>
                <w:sz w:val="22"/>
              </w:rPr>
              <w:t>Rubrique</w:t>
            </w:r>
          </w:p>
        </w:tc>
        <w:tc>
          <w:tcPr>
            <w:tcW w:type="dxa" w:w="6803"/>
            <w:shd w:val="clear" w:color="auto" w:fill="1B3A6B"/>
          </w:tcPr>
          <w:p>
            <w:r/>
            <w:r>
              <w:rPr>
                <w:b/>
                <w:color w:val="FFFFFF"/>
                <w:sz w:val="22"/>
              </w:rPr>
              <w:t>Information</w:t>
            </w:r>
          </w:p>
        </w:tc>
      </w:tr>
      <w:tr>
        <w:tc>
          <w:tcPr>
            <w:tcW w:type="dxa" w:w="2835"/>
          </w:tcPr>
          <w:p>
            <w:r/>
            <w:r>
              <w:rPr>
                <w:b w:val="0"/>
                <w:sz w:val="22"/>
              </w:rPr>
              <w:t>Certification</w:t>
            </w:r>
          </w:p>
        </w:tc>
        <w:tc>
          <w:tcPr>
            <w:tcW w:type="dxa" w:w="6803"/>
          </w:tcPr>
          <w:p>
            <w:r/>
            <w:r>
              <w:rPr>
                <w:b w:val="0"/>
                <w:sz w:val="22"/>
              </w:rPr>
              <w:t>Titre professionnel Responsable de petite ou moyenne structure — RNCP38575</w:t>
            </w:r>
          </w:p>
        </w:tc>
      </w:tr>
      <w:tr>
        <w:tc>
          <w:tcPr>
            <w:tcW w:type="dxa" w:w="2835"/>
            <w:shd w:val="clear" w:color="auto" w:fill="F2F2F2"/>
          </w:tcPr>
          <w:p>
            <w:r/>
            <w:r>
              <w:rPr>
                <w:b w:val="0"/>
                <w:sz w:val="22"/>
              </w:rPr>
              <w:t>Certificateur</w:t>
            </w:r>
          </w:p>
        </w:tc>
        <w:tc>
          <w:tcPr>
            <w:tcW w:type="dxa" w:w="6803"/>
            <w:shd w:val="clear" w:color="auto" w:fill="F2F2F2"/>
          </w:tcPr>
          <w:p>
            <w:r/>
            <w:r>
              <w:rPr>
                <w:b w:val="0"/>
                <w:sz w:val="22"/>
              </w:rPr>
              <w:t>Ministère du Travail, du Plein Emploi et de l'Insertion</w:t>
            </w:r>
          </w:p>
        </w:tc>
      </w:tr>
      <w:tr>
        <w:tc>
          <w:tcPr>
            <w:tcW w:type="dxa" w:w="2835"/>
          </w:tcPr>
          <w:p>
            <w:r/>
            <w:r>
              <w:rPr>
                <w:b w:val="0"/>
                <w:sz w:val="22"/>
              </w:rPr>
              <w:t>Niveau</w:t>
            </w:r>
          </w:p>
        </w:tc>
        <w:tc>
          <w:tcPr>
            <w:tcW w:type="dxa" w:w="6803"/>
          </w:tcPr>
          <w:p>
            <w:r/>
            <w:r>
              <w:rPr>
                <w:b w:val="0"/>
                <w:sz w:val="22"/>
              </w:rPr>
              <w:t>Niveau 5 (cadre national des certifications)</w:t>
            </w:r>
          </w:p>
        </w:tc>
      </w:tr>
      <w:tr>
        <w:tc>
          <w:tcPr>
            <w:tcW w:type="dxa" w:w="2835"/>
            <w:shd w:val="clear" w:color="auto" w:fill="F2F2F2"/>
          </w:tcPr>
          <w:p>
            <w:r/>
            <w:r>
              <w:rPr>
                <w:b w:val="0"/>
                <w:sz w:val="22"/>
              </w:rPr>
              <w:t>Texte de référence</w:t>
            </w:r>
          </w:p>
        </w:tc>
        <w:tc>
          <w:tcPr>
            <w:tcW w:type="dxa" w:w="6803"/>
            <w:shd w:val="clear" w:color="auto" w:fill="F2F2F2"/>
          </w:tcPr>
          <w:p>
            <w:r/>
            <w:r>
              <w:rPr>
                <w:b w:val="0"/>
                <w:sz w:val="22"/>
              </w:rPr>
              <w:t>Arrêté du 5 décembre 2023 (JO du 20/12/2023) — parcours certifiants du 08/02/2024, échéance 08/02/2029</w:t>
            </w:r>
          </w:p>
        </w:tc>
      </w:tr>
      <w:tr>
        <w:tc>
          <w:tcPr>
            <w:tcW w:type="dxa" w:w="2835"/>
          </w:tcPr>
          <w:p>
            <w:r/>
            <w:r>
              <w:rPr>
                <w:b w:val="0"/>
                <w:sz w:val="22"/>
              </w:rPr>
              <w:t>Codes ROME</w:t>
            </w:r>
          </w:p>
        </w:tc>
        <w:tc>
          <w:tcPr>
            <w:tcW w:type="dxa" w:w="6803"/>
          </w:tcPr>
          <w:p>
            <w:r/>
            <w:r>
              <w:rPr>
                <w:b w:val="0"/>
                <w:sz w:val="22"/>
              </w:rPr>
              <w:t>M1302 — Direction de petite ou moyenne entreprise</w:t>
            </w:r>
          </w:p>
        </w:tc>
      </w:tr>
      <w:tr>
        <w:tc>
          <w:tcPr>
            <w:tcW w:type="dxa" w:w="2835"/>
            <w:shd w:val="clear" w:color="auto" w:fill="F2F2F2"/>
          </w:tcPr>
          <w:p>
            <w:r/>
            <w:r>
              <w:rPr>
                <w:b w:val="0"/>
                <w:sz w:val="22"/>
              </w:rPr>
              <w:t>Organisme de formation</w:t>
            </w:r>
          </w:p>
        </w:tc>
        <w:tc>
          <w:tcPr>
            <w:tcW w:type="dxa" w:w="6803"/>
            <w:shd w:val="clear" w:color="auto" w:fill="F2F2F2"/>
          </w:tcPr>
          <w:p>
            <w:r/>
            <w:r>
              <w:rPr>
                <w:b w:val="0"/>
                <w:sz w:val="22"/>
              </w:rPr>
              <w:t>YEBA FORMATIONS — NDA 04973676397 — Qualiopi 25FOR02027.1 (catégorie : actions de formation)</w:t>
            </w:r>
          </w:p>
        </w:tc>
      </w:tr>
      <w:tr>
        <w:tc>
          <w:tcPr>
            <w:tcW w:type="dxa" w:w="2835"/>
          </w:tcPr>
          <w:p>
            <w:r/>
            <w:r>
              <w:rPr>
                <w:b w:val="0"/>
                <w:sz w:val="22"/>
              </w:rPr>
              <w:t>Centre d'examen</w:t>
            </w:r>
          </w:p>
        </w:tc>
        <w:tc>
          <w:tcPr>
            <w:tcW w:type="dxa" w:w="6803"/>
          </w:tcPr>
          <w:p>
            <w:r/>
            <w:r>
              <w:rPr>
                <w:b w:val="0"/>
                <w:sz w:val="22"/>
                <w:highlight w:val="yellow"/>
              </w:rPr>
              <w:t>[À COMPLÉTER : YEBA FORMATIONS si agrément DEETS obtenu pour ce titre, sinon centre agréé partenaire]</w:t>
            </w:r>
          </w:p>
        </w:tc>
      </w:tr>
    </w:tbl>
    <w:p/>
    <w:p>
      <w:pPr>
        <w:pStyle w:val="Heading1"/>
      </w:pPr>
      <w:r>
        <w:t>2. Public et conditions d'accès</w:t>
      </w:r>
    </w:p>
    <w:p>
      <w:r>
        <w:rPr>
          <w:b w:val="0"/>
        </w:rPr>
        <w:t>Salariés en évolution vers une fonction de direction, créateurs et repreneurs d'entreprise, responsables associatifs, demandeurs d'emploi expérimentés (orientation France Travail), personnes en situation de handicap (parcours adapté).</w:t>
      </w:r>
    </w:p>
    <w:p>
      <w:pPr>
        <w:pStyle w:val="Heading3"/>
      </w:pPr>
      <w:r>
        <w:t>Prérequis et admission</w:t>
      </w:r>
    </w:p>
    <w:p>
      <w:pPr>
        <w:pStyle w:val="ListBullet"/>
      </w:pPr>
      <w:r>
        <w:rPr>
          <w:b w:val="0"/>
        </w:rPr>
        <w:t>Aucun prérequis réglementaire fixé par le titre.</w:t>
      </w:r>
    </w:p>
    <w:p>
      <w:pPr>
        <w:pStyle w:val="ListBullet"/>
      </w:pPr>
      <w:r>
        <w:rPr>
          <w:b w:val="0"/>
        </w:rPr>
        <w:t>Critères d'admission YEBA FORMATIONS : expérience professionnelle d'au moins 2 ans (encadrement, gestion, commerce ou responsabilité associative) OU projet de création / reprise étayé ; niveau 4 recommandé.</w:t>
      </w:r>
    </w:p>
    <w:p>
      <w:pPr>
        <w:pStyle w:val="ListBullet"/>
      </w:pPr>
      <w:r>
        <w:rPr>
          <w:b w:val="0"/>
        </w:rPr>
        <w:t>Validation par : information collective + test de positionnement (expression écrite, calculs de gestion) + entretien individuel de motivation.</w:t>
      </w:r>
    </w:p>
    <w:p>
      <w:pPr>
        <w:pStyle w:val="Heading3"/>
      </w:pPr>
      <w:r>
        <w:t>Délais d'accès</w:t>
      </w:r>
    </w:p>
    <w:p>
      <w:pPr>
        <w:pStyle w:val="ListBullet"/>
      </w:pPr>
      <w:r>
        <w:rPr>
          <w:b w:val="0"/>
        </w:rPr>
        <w:t xml:space="preserve">Information collective : </w:t>
      </w:r>
      <w:r>
        <w:rPr>
          <w:b w:val="0"/>
          <w:highlight w:val="yellow"/>
        </w:rPr>
        <w:t>[À COMPLÉTER : dates]</w:t>
      </w:r>
      <w:r>
        <w:rPr>
          <w:b w:val="0"/>
        </w:rPr>
        <w:t xml:space="preserve"> ; réponse à la candidature sous 10 jours ouvrés après l'entretien.</w:t>
      </w:r>
    </w:p>
    <w:p>
      <w:pPr>
        <w:pStyle w:val="ListBullet"/>
      </w:pPr>
      <w:r>
        <w:rPr>
          <w:b w:val="0"/>
        </w:rPr>
        <w:t xml:space="preserve">Financement CPF : respect du délai minimal imposé par Mon Compte Formation entre la proposition et l'entrée en formation </w:t>
      </w:r>
      <w:r>
        <w:rPr>
          <w:b w:val="0"/>
          <w:highlight w:val="yellow"/>
        </w:rPr>
        <w:t>[À VÉRIFIER : délai en vigueur sur EDOF]</w:t>
      </w:r>
      <w:r>
        <w:rPr>
          <w:b w:val="0"/>
        </w:rPr>
        <w:t>.</w:t>
      </w:r>
    </w:p>
    <w:p>
      <w:pPr>
        <w:pStyle w:val="ListBullet"/>
      </w:pPr>
      <w:r>
        <w:rPr>
          <w:b w:val="0"/>
        </w:rPr>
        <w:t xml:space="preserve">Financement France Travail (AIF) : dépôt du devis sur KAIROS au moins 15 jours avant le démarrage </w:t>
      </w:r>
      <w:r>
        <w:rPr>
          <w:b w:val="0"/>
          <w:highlight w:val="yellow"/>
        </w:rPr>
        <w:t>[À VÉRIFIER : délai local France Travail Réunion]</w:t>
      </w:r>
      <w:r>
        <w:rPr>
          <w:b w:val="0"/>
        </w:rPr>
        <w:t>.</w:t>
      </w:r>
    </w:p>
    <w:p>
      <w:pPr>
        <w:pStyle w:val="Heading1"/>
      </w:pPr>
      <w:r>
        <w:t>3. Objectifs — compétences visées</w:t>
      </w:r>
    </w:p>
    <w:p>
      <w:pPr>
        <w:pStyle w:val="Heading3"/>
      </w:pPr>
      <w:r>
        <w:t>CCP1 — RNCP38575BC01 : Diriger une structure avec une équipe</w:t>
      </w:r>
    </w:p>
    <w:p>
      <w:pPr>
        <w:pStyle w:val="ListBullet"/>
      </w:pPr>
      <w:r>
        <w:rPr>
          <w:b w:val="0"/>
        </w:rPr>
        <w:t>Développer une vision systémique de la structure — Analyser une structure dans son environnement et ses interactions.</w:t>
      </w:r>
    </w:p>
    <w:p>
      <w:pPr>
        <w:pStyle w:val="ListBullet"/>
      </w:pPr>
      <w:r>
        <w:rPr>
          <w:b w:val="0"/>
        </w:rPr>
        <w:t>Inscrire la structure dans son territoire — Positionner la structure dans l'écosystème local et ses réseaux.</w:t>
      </w:r>
    </w:p>
    <w:p>
      <w:pPr>
        <w:pStyle w:val="ListBullet"/>
      </w:pPr>
      <w:r>
        <w:rPr>
          <w:b w:val="0"/>
        </w:rPr>
        <w:t>Manager et animer une équipe — Diriger au quotidien une équipe en respectant le droit du travail et la QVCT.</w:t>
      </w:r>
    </w:p>
    <w:p>
      <w:pPr>
        <w:pStyle w:val="Heading3"/>
      </w:pPr>
      <w:r>
        <w:t>CCP2 — RNCP38575BC02 : Mettre en œuvre l'objet social de la structure</w:t>
      </w:r>
    </w:p>
    <w:p>
      <w:pPr>
        <w:pStyle w:val="ListBullet"/>
      </w:pPr>
      <w:r>
        <w:rPr>
          <w:b w:val="0"/>
        </w:rPr>
        <w:t>Adapter l'offre de la structure à la demande — Analyser le marché et faire évoluer l'offre de biens et services.</w:t>
      </w:r>
    </w:p>
    <w:p>
      <w:pPr>
        <w:pStyle w:val="ListBullet"/>
      </w:pPr>
      <w:r>
        <w:rPr>
          <w:b w:val="0"/>
        </w:rPr>
        <w:t>Organiser et développer la diffusion de l'offre — Construire et piloter un plan d'action commercial.</w:t>
      </w:r>
    </w:p>
    <w:p>
      <w:pPr>
        <w:pStyle w:val="ListBullet"/>
      </w:pPr>
      <w:r>
        <w:rPr>
          <w:b w:val="0"/>
        </w:rPr>
        <w:t>Organiser la production — Organiser la production de biens ou de services avec qualité et efficience.</w:t>
      </w:r>
    </w:p>
    <w:p>
      <w:pPr>
        <w:pStyle w:val="Heading3"/>
      </w:pPr>
      <w:r>
        <w:t>CCP3 — RNCP38575BC03 : Établir et présenter un rapport d'activité de la structure</w:t>
      </w:r>
    </w:p>
    <w:p>
      <w:pPr>
        <w:pStyle w:val="ListBullet"/>
      </w:pPr>
      <w:r>
        <w:rPr>
          <w:b w:val="0"/>
        </w:rPr>
        <w:t>Analyser le bilan de la structure — Lire et interpréter un bilan.</w:t>
      </w:r>
    </w:p>
    <w:p>
      <w:pPr>
        <w:pStyle w:val="ListBullet"/>
      </w:pPr>
      <w:r>
        <w:rPr>
          <w:b w:val="0"/>
        </w:rPr>
        <w:t>Analyser le compte de résultat de la structure — Interpréter le compte de résultat et piloter la rentabilité.</w:t>
      </w:r>
    </w:p>
    <w:p>
      <w:pPr>
        <w:pStyle w:val="ListBullet"/>
      </w:pPr>
      <w:r>
        <w:rPr>
          <w:b w:val="0"/>
        </w:rPr>
        <w:t>Rédiger le rapport d'activité de la structure — Produire et présenter un rapport d'activité clair à la gouvernance.</w:t>
      </w:r>
    </w:p>
    <w:p>
      <w:pPr>
        <w:pStyle w:val="Heading3"/>
      </w:pPr>
      <w:r>
        <w:t>Compétences transversales (plus-value YEBA FORMATIONS)</w:t>
      </w:r>
    </w:p>
    <w:p>
      <w:pPr>
        <w:pStyle w:val="ListBullet"/>
      </w:pPr>
      <w:r>
        <w:rPr>
          <w:b w:val="0"/>
        </w:rPr>
        <w:t>Accueil, intégration et positionnement (14 h)</w:t>
      </w:r>
    </w:p>
    <w:p>
      <w:pPr>
        <w:pStyle w:val="ListBullet"/>
      </w:pPr>
      <w:r>
        <w:rPr>
          <w:b w:val="0"/>
        </w:rPr>
        <w:t>IA, données et gouvernance du dirigeant (module distinctif YEBA) (42 h)</w:t>
      </w:r>
    </w:p>
    <w:p>
      <w:pPr>
        <w:pStyle w:val="ListBullet"/>
      </w:pPr>
      <w:r>
        <w:rPr>
          <w:b w:val="0"/>
        </w:rPr>
        <w:t>Anglais professionnel de base (14 h)</w:t>
      </w:r>
    </w:p>
    <w:p>
      <w:pPr>
        <w:pStyle w:val="ListBullet"/>
      </w:pPr>
      <w:r>
        <w:rPr>
          <w:b w:val="0"/>
        </w:rPr>
        <w:t>Dossier de projet, dossier professionnel et diaporama (21 h)</w:t>
      </w:r>
    </w:p>
    <w:p>
      <w:pPr>
        <w:pStyle w:val="ListBullet"/>
      </w:pPr>
      <w:r>
        <w:rPr>
          <w:b w:val="0"/>
        </w:rPr>
        <w:t>Préparation de la période en entreprise et insertion (14 h)</w:t>
      </w:r>
    </w:p>
    <w:p>
      <w:pPr>
        <w:pStyle w:val="ListBullet"/>
      </w:pPr>
      <w:r>
        <w:rPr>
          <w:b w:val="0"/>
        </w:rPr>
        <w:t>Entraînement à l'épreuve du titre (14 h)</w:t>
      </w:r>
    </w:p>
    <w:p>
      <w:pPr>
        <w:pStyle w:val="ListBullet"/>
      </w:pPr>
      <w:r>
        <w:rPr>
          <w:b w:val="0"/>
        </w:rPr>
        <w:t>Suivi individuel et prévention du décrochage (7 h)</w:t>
      </w:r>
    </w:p>
    <w:p>
      <w:pPr>
        <w:pStyle w:val="Heading1"/>
      </w:pPr>
      <w:r>
        <w:t>4. Durée, rythme et organisation</w:t>
      </w:r>
    </w:p>
    <w:tbl>
      <w:tblPr>
        <w:tblStyle w:val="TableGrid"/>
        <w:tblW w:type="auto" w:w="0"/>
        <w:jc w:val="center"/>
        <w:tblLayout w:type="fixed"/>
        <w:tblLook w:firstColumn="1" w:firstRow="1" w:lastColumn="0" w:lastRow="0" w:noHBand="0" w:noVBand="1" w:val="04A0"/>
      </w:tblPr>
      <w:tblGrid>
        <w:gridCol w:w="2835"/>
        <w:gridCol w:w="6804"/>
      </w:tblGrid>
      <w:tr>
        <w:trPr>
          <w:tblHeader w:val="true"/>
        </w:trPr>
        <w:tc>
          <w:tcPr>
            <w:tcW w:type="dxa" w:w="2835"/>
            <w:shd w:val="clear" w:color="auto" w:fill="1B3A6B"/>
          </w:tcPr>
          <w:p>
            <w:r/>
            <w:r>
              <w:rPr>
                <w:b/>
                <w:color w:val="FFFFFF"/>
                <w:sz w:val="22"/>
              </w:rPr>
              <w:t>Élément</w:t>
            </w:r>
          </w:p>
        </w:tc>
        <w:tc>
          <w:tcPr>
            <w:tcW w:type="dxa" w:w="6803"/>
            <w:shd w:val="clear" w:color="auto" w:fill="1B3A6B"/>
          </w:tcPr>
          <w:p>
            <w:r/>
            <w:r>
              <w:rPr>
                <w:b/>
                <w:color w:val="FFFFFF"/>
                <w:sz w:val="22"/>
              </w:rPr>
              <w:t>Valeur</w:t>
            </w:r>
          </w:p>
        </w:tc>
      </w:tr>
      <w:tr>
        <w:tc>
          <w:tcPr>
            <w:tcW w:type="dxa" w:w="2835"/>
          </w:tcPr>
          <w:p>
            <w:r/>
            <w:r>
              <w:rPr>
                <w:b w:val="0"/>
                <w:sz w:val="22"/>
              </w:rPr>
              <w:t>Durée en centre</w:t>
            </w:r>
          </w:p>
        </w:tc>
        <w:tc>
          <w:tcPr>
            <w:tcW w:type="dxa" w:w="6803"/>
          </w:tcPr>
          <w:p>
            <w:r/>
            <w:r>
              <w:rPr>
                <w:b w:val="0"/>
                <w:sz w:val="22"/>
              </w:rPr>
              <w:t>595 heures</w:t>
            </w:r>
          </w:p>
        </w:tc>
      </w:tr>
      <w:tr>
        <w:tc>
          <w:tcPr>
            <w:tcW w:type="dxa" w:w="2835"/>
            <w:shd w:val="clear" w:color="auto" w:fill="F2F2F2"/>
          </w:tcPr>
          <w:p>
            <w:r/>
            <w:r>
              <w:rPr>
                <w:b w:val="0"/>
                <w:sz w:val="22"/>
              </w:rPr>
              <w:t>Période en entreprise</w:t>
            </w:r>
          </w:p>
        </w:tc>
        <w:tc>
          <w:tcPr>
            <w:tcW w:type="dxa" w:w="6803"/>
            <w:shd w:val="clear" w:color="auto" w:fill="F2F2F2"/>
          </w:tcPr>
          <w:p>
            <w:r/>
            <w:r>
              <w:rPr>
                <w:b w:val="0"/>
                <w:sz w:val="22"/>
              </w:rPr>
              <w:t xml:space="preserve">210 heures — </w:t>
            </w:r>
            <w:r>
              <w:rPr>
                <w:b w:val="0"/>
                <w:sz w:val="22"/>
                <w:highlight w:val="yellow"/>
              </w:rPr>
              <w:t>[À VÉRIFIER : 210 h minimum selon plusieurs organismes (icademie.com, etudis.net) — à confirmer dans l'arrêté du 5 décembre 2023 / référentiel de certification avant diffusion]</w:t>
            </w:r>
          </w:p>
        </w:tc>
      </w:tr>
      <w:tr>
        <w:tc>
          <w:tcPr>
            <w:tcW w:type="dxa" w:w="2835"/>
          </w:tcPr>
          <w:p>
            <w:r/>
            <w:r>
              <w:rPr>
                <w:b w:val="0"/>
                <w:sz w:val="22"/>
              </w:rPr>
              <w:t>Durée totale du parcours</w:t>
            </w:r>
          </w:p>
        </w:tc>
        <w:tc>
          <w:tcPr>
            <w:tcW w:type="dxa" w:w="6803"/>
          </w:tcPr>
          <w:p>
            <w:r/>
            <w:r>
              <w:rPr>
                <w:b w:val="0"/>
                <w:sz w:val="22"/>
              </w:rPr>
              <w:t>805 heures (hors session d'examen)</w:t>
            </w:r>
          </w:p>
        </w:tc>
      </w:tr>
      <w:tr>
        <w:tc>
          <w:tcPr>
            <w:tcW w:type="dxa" w:w="2835"/>
            <w:shd w:val="clear" w:color="auto" w:fill="F2F2F2"/>
          </w:tcPr>
          <w:p>
            <w:r/>
            <w:r>
              <w:rPr>
                <w:b w:val="0"/>
                <w:sz w:val="22"/>
              </w:rPr>
              <w:t>Rythme</w:t>
            </w:r>
          </w:p>
        </w:tc>
        <w:tc>
          <w:tcPr>
            <w:tcW w:type="dxa" w:w="6803"/>
            <w:shd w:val="clear" w:color="auto" w:fill="F2F2F2"/>
          </w:tcPr>
          <w:p>
            <w:r/>
            <w:r>
              <w:rPr>
                <w:b w:val="0"/>
                <w:sz w:val="22"/>
              </w:rPr>
              <w:t xml:space="preserve">35 h / semaine — </w:t>
            </w:r>
            <w:r>
              <w:rPr>
                <w:b w:val="0"/>
                <w:sz w:val="22"/>
                <w:highlight w:val="yellow"/>
              </w:rPr>
              <w:t>[À COMPLÉTER : horaires, ex. 8 h 00 – 12 h 00 / 13 h 00 – 16 h 00]</w:t>
            </w:r>
          </w:p>
        </w:tc>
      </w:tr>
      <w:tr>
        <w:tc>
          <w:tcPr>
            <w:tcW w:type="dxa" w:w="2835"/>
          </w:tcPr>
          <w:p>
            <w:r/>
            <w:r>
              <w:rPr>
                <w:b w:val="0"/>
                <w:sz w:val="22"/>
              </w:rPr>
              <w:t>Pauses</w:t>
            </w:r>
          </w:p>
        </w:tc>
        <w:tc>
          <w:tcPr>
            <w:tcW w:type="dxa" w:w="6803"/>
          </w:tcPr>
          <w:p>
            <w:r/>
            <w:r>
              <w:rPr>
                <w:b w:val="0"/>
                <w:sz w:val="22"/>
                <w:highlight w:val="yellow"/>
              </w:rPr>
              <w:t>[À COMPLÉTER : ex. 15 min le matin, 15 min l'après-midi]</w:t>
            </w:r>
          </w:p>
        </w:tc>
      </w:tr>
      <w:tr>
        <w:tc>
          <w:tcPr>
            <w:tcW w:type="dxa" w:w="2835"/>
            <w:shd w:val="clear" w:color="auto" w:fill="F2F2F2"/>
          </w:tcPr>
          <w:p>
            <w:r/>
            <w:r>
              <w:rPr>
                <w:b w:val="0"/>
                <w:sz w:val="22"/>
              </w:rPr>
              <w:t>Dates de session</w:t>
            </w:r>
          </w:p>
        </w:tc>
        <w:tc>
          <w:tcPr>
            <w:tcW w:type="dxa" w:w="6803"/>
            <w:shd w:val="clear" w:color="auto" w:fill="F2F2F2"/>
          </w:tcPr>
          <w:p>
            <w:r/>
            <w:r>
              <w:rPr>
                <w:b w:val="0"/>
                <w:sz w:val="22"/>
                <w:highlight w:val="yellow"/>
              </w:rPr>
              <w:t>[À COMPLÉTER : date de début — date de fin]</w:t>
            </w:r>
          </w:p>
        </w:tc>
      </w:tr>
      <w:tr>
        <w:tc>
          <w:tcPr>
            <w:tcW w:type="dxa" w:w="2835"/>
          </w:tcPr>
          <w:p>
            <w:r/>
            <w:r>
              <w:rPr>
                <w:b w:val="0"/>
                <w:sz w:val="22"/>
              </w:rPr>
              <w:t>Lieu</w:t>
            </w:r>
          </w:p>
        </w:tc>
        <w:tc>
          <w:tcPr>
            <w:tcW w:type="dxa" w:w="6803"/>
          </w:tcPr>
          <w:p>
            <w:r/>
            <w:r>
              <w:rPr>
                <w:b w:val="0"/>
                <w:sz w:val="22"/>
                <w:highlight w:val="yellow"/>
              </w:rPr>
              <w:t>[À COMPLÉTER : adresse des locaux ; accessibilité PMR]</w:t>
            </w:r>
          </w:p>
        </w:tc>
      </w:tr>
      <w:tr>
        <w:tc>
          <w:tcPr>
            <w:tcW w:type="dxa" w:w="2835"/>
            <w:shd w:val="clear" w:color="auto" w:fill="F2F2F2"/>
          </w:tcPr>
          <w:p>
            <w:r/>
            <w:r>
              <w:rPr>
                <w:b w:val="0"/>
                <w:sz w:val="22"/>
              </w:rPr>
              <w:t>Effectif</w:t>
            </w:r>
          </w:p>
        </w:tc>
        <w:tc>
          <w:tcPr>
            <w:tcW w:type="dxa" w:w="6803"/>
            <w:shd w:val="clear" w:color="auto" w:fill="F2F2F2"/>
          </w:tcPr>
          <w:p>
            <w:r/>
            <w:r>
              <w:rPr>
                <w:b w:val="0"/>
                <w:sz w:val="22"/>
                <w:highlight w:val="yellow"/>
              </w:rPr>
              <w:t>[À COMPLÉTER : minimum / maximum, ex. 8 à 14 stagiaires]</w:t>
            </w:r>
          </w:p>
        </w:tc>
      </w:tr>
      <w:tr>
        <w:tc>
          <w:tcPr>
            <w:tcW w:type="dxa" w:w="2835"/>
          </w:tcPr>
          <w:p>
            <w:r/>
            <w:r>
              <w:rPr>
                <w:b w:val="0"/>
                <w:sz w:val="22"/>
              </w:rPr>
              <w:t>Modalité</w:t>
            </w:r>
          </w:p>
        </w:tc>
        <w:tc>
          <w:tcPr>
            <w:tcW w:type="dxa" w:w="6803"/>
          </w:tcPr>
          <w:p>
            <w:r/>
            <w:r>
              <w:rPr>
                <w:b w:val="0"/>
                <w:sz w:val="22"/>
              </w:rPr>
              <w:t xml:space="preserve">Présentiel (possibilité de modules à distance synchrones : </w:t>
            </w:r>
            <w:r>
              <w:rPr>
                <w:b w:val="0"/>
                <w:sz w:val="22"/>
                <w:highlight w:val="yellow"/>
              </w:rPr>
              <w:t>[À COMPLÉTER]</w:t>
            </w:r>
            <w:r>
              <w:rPr>
                <w:b w:val="0"/>
                <w:sz w:val="22"/>
              </w:rPr>
              <w:t>)</w:t>
            </w:r>
          </w:p>
        </w:tc>
      </w:tr>
      <w:tr>
        <w:tc>
          <w:tcPr>
            <w:tcW w:type="dxa" w:w="2835"/>
            <w:shd w:val="clear" w:color="auto" w:fill="F2F2F2"/>
          </w:tcPr>
          <w:p>
            <w:r/>
            <w:r>
              <w:rPr>
                <w:b w:val="0"/>
                <w:sz w:val="22"/>
              </w:rPr>
              <w:t>Épreuves du titre</w:t>
            </w:r>
          </w:p>
        </w:tc>
        <w:tc>
          <w:tcPr>
            <w:tcW w:type="dxa" w:w="6803"/>
            <w:shd w:val="clear" w:color="auto" w:fill="F2F2F2"/>
          </w:tcPr>
          <w:p>
            <w:r/>
            <w:r>
              <w:rPr>
                <w:b w:val="0"/>
                <w:sz w:val="22"/>
              </w:rPr>
              <w:t>1 h 35 par candidat (présentation d'un projet réalisé en amont 45 min + entretien technique 30 min + entretien final 20 min)</w:t>
            </w:r>
          </w:p>
        </w:tc>
      </w:tr>
    </w:tbl>
    <w:p/>
    <w:p>
      <w:pPr>
        <w:pStyle w:val="Heading1"/>
      </w:pPr>
      <w:r>
        <w:t>5. Contenu (modules et volumes horaires)</w:t>
      </w:r>
    </w:p>
    <w:tbl>
      <w:tblPr>
        <w:tblStyle w:val="TableGrid"/>
        <w:tblW w:type="auto" w:w="0"/>
        <w:jc w:val="center"/>
        <w:tblLayout w:type="fixed"/>
        <w:tblLook w:firstColumn="1" w:firstRow="1" w:lastColumn="0" w:lastRow="0" w:noHBand="0" w:noVBand="1" w:val="04A0"/>
      </w:tblPr>
      <w:tblGrid>
        <w:gridCol w:w="907"/>
        <w:gridCol w:w="5670"/>
        <w:gridCol w:w="1701"/>
        <w:gridCol w:w="1247"/>
      </w:tblGrid>
      <w:tr>
        <w:trPr>
          <w:tblHeader w:val="true"/>
        </w:trPr>
        <w:tc>
          <w:tcPr>
            <w:tcW w:type="dxa" w:w="907"/>
            <w:shd w:val="clear" w:color="auto" w:fill="1B3A6B"/>
          </w:tcPr>
          <w:p>
            <w:r/>
            <w:r>
              <w:rPr>
                <w:b/>
                <w:color w:val="FFFFFF"/>
                <w:sz w:val="22"/>
              </w:rPr>
              <w:t>Code</w:t>
            </w:r>
          </w:p>
        </w:tc>
        <w:tc>
          <w:tcPr>
            <w:tcW w:type="dxa" w:w="5669"/>
            <w:shd w:val="clear" w:color="auto" w:fill="1B3A6B"/>
          </w:tcPr>
          <w:p>
            <w:r/>
            <w:r>
              <w:rPr>
                <w:b/>
                <w:color w:val="FFFFFF"/>
                <w:sz w:val="22"/>
              </w:rPr>
              <w:t>Module</w:t>
            </w:r>
          </w:p>
        </w:tc>
        <w:tc>
          <w:tcPr>
            <w:tcW w:type="dxa" w:w="1701"/>
            <w:shd w:val="clear" w:color="auto" w:fill="1B3A6B"/>
          </w:tcPr>
          <w:p>
            <w:r/>
            <w:r>
              <w:rPr>
                <w:b/>
                <w:color w:val="FFFFFF"/>
                <w:sz w:val="22"/>
              </w:rPr>
              <w:t>Bloc</w:t>
            </w:r>
          </w:p>
        </w:tc>
        <w:tc>
          <w:tcPr>
            <w:tcW w:type="dxa" w:w="1247"/>
            <w:shd w:val="clear" w:color="auto" w:fill="1B3A6B"/>
          </w:tcPr>
          <w:p>
            <w:r/>
            <w:r>
              <w:rPr>
                <w:b/>
                <w:color w:val="FFFFFF"/>
                <w:sz w:val="22"/>
              </w:rPr>
              <w:t>Heures</w:t>
            </w:r>
          </w:p>
        </w:tc>
      </w:tr>
      <w:tr>
        <w:tc>
          <w:tcPr>
            <w:tcW w:type="dxa" w:w="907"/>
          </w:tcPr>
          <w:p>
            <w:r/>
            <w:r>
              <w:rPr>
                <w:b w:val="0"/>
                <w:sz w:val="22"/>
              </w:rPr>
              <w:t>M0</w:t>
            </w:r>
          </w:p>
        </w:tc>
        <w:tc>
          <w:tcPr>
            <w:tcW w:type="dxa" w:w="5669"/>
          </w:tcPr>
          <w:p>
            <w:r/>
            <w:r>
              <w:rPr>
                <w:b w:val="0"/>
                <w:sz w:val="22"/>
              </w:rPr>
              <w:t>Accueil, intégration et positionnement</w:t>
            </w:r>
          </w:p>
        </w:tc>
        <w:tc>
          <w:tcPr>
            <w:tcW w:type="dxa" w:w="1701"/>
          </w:tcPr>
          <w:p>
            <w:r/>
            <w:r>
              <w:rPr>
                <w:b w:val="0"/>
                <w:sz w:val="22"/>
              </w:rPr>
              <w:t>Transversal</w:t>
            </w:r>
          </w:p>
        </w:tc>
        <w:tc>
          <w:tcPr>
            <w:tcW w:type="dxa" w:w="1247"/>
          </w:tcPr>
          <w:p>
            <w:r/>
            <w:r>
              <w:rPr>
                <w:b w:val="0"/>
                <w:sz w:val="22"/>
              </w:rPr>
              <w:t>14</w:t>
            </w:r>
          </w:p>
        </w:tc>
      </w:tr>
      <w:tr>
        <w:tc>
          <w:tcPr>
            <w:tcW w:type="dxa" w:w="907"/>
            <w:shd w:val="clear" w:color="auto" w:fill="F2F2F2"/>
          </w:tcPr>
          <w:p>
            <w:r/>
            <w:r>
              <w:rPr>
                <w:b w:val="0"/>
                <w:sz w:val="22"/>
              </w:rPr>
              <w:t>M1.1</w:t>
            </w:r>
          </w:p>
        </w:tc>
        <w:tc>
          <w:tcPr>
            <w:tcW w:type="dxa" w:w="5669"/>
            <w:shd w:val="clear" w:color="auto" w:fill="F2F2F2"/>
          </w:tcPr>
          <w:p>
            <w:r/>
            <w:r>
              <w:rPr>
                <w:b w:val="0"/>
                <w:sz w:val="22"/>
              </w:rPr>
              <w:t>Développer une vision systémique de la structure</w:t>
            </w:r>
          </w:p>
        </w:tc>
        <w:tc>
          <w:tcPr>
            <w:tcW w:type="dxa" w:w="1701"/>
            <w:shd w:val="clear" w:color="auto" w:fill="F2F2F2"/>
          </w:tcPr>
          <w:p>
            <w:r/>
            <w:r>
              <w:rPr>
                <w:b w:val="0"/>
                <w:sz w:val="22"/>
              </w:rPr>
              <w:t>CCP1</w:t>
            </w:r>
          </w:p>
        </w:tc>
        <w:tc>
          <w:tcPr>
            <w:tcW w:type="dxa" w:w="1247"/>
            <w:shd w:val="clear" w:color="auto" w:fill="F2F2F2"/>
          </w:tcPr>
          <w:p>
            <w:r/>
            <w:r>
              <w:rPr>
                <w:b w:val="0"/>
                <w:sz w:val="22"/>
              </w:rPr>
              <w:t>49</w:t>
            </w:r>
          </w:p>
        </w:tc>
      </w:tr>
      <w:tr>
        <w:tc>
          <w:tcPr>
            <w:tcW w:type="dxa" w:w="907"/>
          </w:tcPr>
          <w:p>
            <w:r/>
            <w:r>
              <w:rPr>
                <w:b w:val="0"/>
                <w:sz w:val="22"/>
              </w:rPr>
              <w:t>M1.2</w:t>
            </w:r>
          </w:p>
        </w:tc>
        <w:tc>
          <w:tcPr>
            <w:tcW w:type="dxa" w:w="5669"/>
          </w:tcPr>
          <w:p>
            <w:r/>
            <w:r>
              <w:rPr>
                <w:b w:val="0"/>
                <w:sz w:val="22"/>
              </w:rPr>
              <w:t>Inscrire la structure dans son territoire</w:t>
            </w:r>
          </w:p>
        </w:tc>
        <w:tc>
          <w:tcPr>
            <w:tcW w:type="dxa" w:w="1701"/>
          </w:tcPr>
          <w:p>
            <w:r/>
            <w:r>
              <w:rPr>
                <w:b w:val="0"/>
                <w:sz w:val="22"/>
              </w:rPr>
              <w:t>CCP1</w:t>
            </w:r>
          </w:p>
        </w:tc>
        <w:tc>
          <w:tcPr>
            <w:tcW w:type="dxa" w:w="1247"/>
          </w:tcPr>
          <w:p>
            <w:r/>
            <w:r>
              <w:rPr>
                <w:b w:val="0"/>
                <w:sz w:val="22"/>
              </w:rPr>
              <w:t>35</w:t>
            </w:r>
          </w:p>
        </w:tc>
      </w:tr>
      <w:tr>
        <w:tc>
          <w:tcPr>
            <w:tcW w:type="dxa" w:w="907"/>
            <w:shd w:val="clear" w:color="auto" w:fill="F2F2F2"/>
          </w:tcPr>
          <w:p>
            <w:r/>
            <w:r>
              <w:rPr>
                <w:b w:val="0"/>
                <w:sz w:val="22"/>
              </w:rPr>
              <w:t>M1.3</w:t>
            </w:r>
          </w:p>
        </w:tc>
        <w:tc>
          <w:tcPr>
            <w:tcW w:type="dxa" w:w="5669"/>
            <w:shd w:val="clear" w:color="auto" w:fill="F2F2F2"/>
          </w:tcPr>
          <w:p>
            <w:r/>
            <w:r>
              <w:rPr>
                <w:b w:val="0"/>
                <w:sz w:val="22"/>
              </w:rPr>
              <w:t>Manager et animer une équipe</w:t>
            </w:r>
          </w:p>
        </w:tc>
        <w:tc>
          <w:tcPr>
            <w:tcW w:type="dxa" w:w="1701"/>
            <w:shd w:val="clear" w:color="auto" w:fill="F2F2F2"/>
          </w:tcPr>
          <w:p>
            <w:r/>
            <w:r>
              <w:rPr>
                <w:b w:val="0"/>
                <w:sz w:val="22"/>
              </w:rPr>
              <w:t>CCP1</w:t>
            </w:r>
          </w:p>
        </w:tc>
        <w:tc>
          <w:tcPr>
            <w:tcW w:type="dxa" w:w="1247"/>
            <w:shd w:val="clear" w:color="auto" w:fill="F2F2F2"/>
          </w:tcPr>
          <w:p>
            <w:r/>
            <w:r>
              <w:rPr>
                <w:b w:val="0"/>
                <w:sz w:val="22"/>
              </w:rPr>
              <w:t>70</w:t>
            </w:r>
          </w:p>
        </w:tc>
      </w:tr>
      <w:tr>
        <w:tc>
          <w:tcPr>
            <w:tcW w:type="dxa" w:w="907"/>
          </w:tcPr>
          <w:p>
            <w:r/>
            <w:r>
              <w:rPr>
                <w:b w:val="0"/>
                <w:sz w:val="22"/>
              </w:rPr>
              <w:t>M2.1</w:t>
            </w:r>
          </w:p>
        </w:tc>
        <w:tc>
          <w:tcPr>
            <w:tcW w:type="dxa" w:w="5669"/>
          </w:tcPr>
          <w:p>
            <w:r/>
            <w:r>
              <w:rPr>
                <w:b w:val="0"/>
                <w:sz w:val="22"/>
              </w:rPr>
              <w:t>Adapter l'offre de la structure à la demande</w:t>
            </w:r>
          </w:p>
        </w:tc>
        <w:tc>
          <w:tcPr>
            <w:tcW w:type="dxa" w:w="1701"/>
          </w:tcPr>
          <w:p>
            <w:r/>
            <w:r>
              <w:rPr>
                <w:b w:val="0"/>
                <w:sz w:val="22"/>
              </w:rPr>
              <w:t>CCP2</w:t>
            </w:r>
          </w:p>
        </w:tc>
        <w:tc>
          <w:tcPr>
            <w:tcW w:type="dxa" w:w="1247"/>
          </w:tcPr>
          <w:p>
            <w:r/>
            <w:r>
              <w:rPr>
                <w:b w:val="0"/>
                <w:sz w:val="22"/>
              </w:rPr>
              <w:t>63</w:t>
            </w:r>
          </w:p>
        </w:tc>
      </w:tr>
      <w:tr>
        <w:tc>
          <w:tcPr>
            <w:tcW w:type="dxa" w:w="907"/>
            <w:shd w:val="clear" w:color="auto" w:fill="F2F2F2"/>
          </w:tcPr>
          <w:p>
            <w:r/>
            <w:r>
              <w:rPr>
                <w:b w:val="0"/>
                <w:sz w:val="22"/>
              </w:rPr>
              <w:t>M2.2</w:t>
            </w:r>
          </w:p>
        </w:tc>
        <w:tc>
          <w:tcPr>
            <w:tcW w:type="dxa" w:w="5669"/>
            <w:shd w:val="clear" w:color="auto" w:fill="F2F2F2"/>
          </w:tcPr>
          <w:p>
            <w:r/>
            <w:r>
              <w:rPr>
                <w:b w:val="0"/>
                <w:sz w:val="22"/>
              </w:rPr>
              <w:t>Organiser et développer la diffusion de l'offre</w:t>
            </w:r>
          </w:p>
        </w:tc>
        <w:tc>
          <w:tcPr>
            <w:tcW w:type="dxa" w:w="1701"/>
            <w:shd w:val="clear" w:color="auto" w:fill="F2F2F2"/>
          </w:tcPr>
          <w:p>
            <w:r/>
            <w:r>
              <w:rPr>
                <w:b w:val="0"/>
                <w:sz w:val="22"/>
              </w:rPr>
              <w:t>CCP2</w:t>
            </w:r>
          </w:p>
        </w:tc>
        <w:tc>
          <w:tcPr>
            <w:tcW w:type="dxa" w:w="1247"/>
            <w:shd w:val="clear" w:color="auto" w:fill="F2F2F2"/>
          </w:tcPr>
          <w:p>
            <w:r/>
            <w:r>
              <w:rPr>
                <w:b w:val="0"/>
                <w:sz w:val="22"/>
              </w:rPr>
              <w:t>56</w:t>
            </w:r>
          </w:p>
        </w:tc>
      </w:tr>
      <w:tr>
        <w:tc>
          <w:tcPr>
            <w:tcW w:type="dxa" w:w="907"/>
          </w:tcPr>
          <w:p>
            <w:r/>
            <w:r>
              <w:rPr>
                <w:b w:val="0"/>
                <w:sz w:val="22"/>
              </w:rPr>
              <w:t>M2.3</w:t>
            </w:r>
          </w:p>
        </w:tc>
        <w:tc>
          <w:tcPr>
            <w:tcW w:type="dxa" w:w="5669"/>
          </w:tcPr>
          <w:p>
            <w:r/>
            <w:r>
              <w:rPr>
                <w:b w:val="0"/>
                <w:sz w:val="22"/>
              </w:rPr>
              <w:t>Organiser la production</w:t>
            </w:r>
          </w:p>
        </w:tc>
        <w:tc>
          <w:tcPr>
            <w:tcW w:type="dxa" w:w="1701"/>
          </w:tcPr>
          <w:p>
            <w:r/>
            <w:r>
              <w:rPr>
                <w:b w:val="0"/>
                <w:sz w:val="22"/>
              </w:rPr>
              <w:t>CCP2</w:t>
            </w:r>
          </w:p>
        </w:tc>
        <w:tc>
          <w:tcPr>
            <w:tcW w:type="dxa" w:w="1247"/>
          </w:tcPr>
          <w:p>
            <w:r/>
            <w:r>
              <w:rPr>
                <w:b w:val="0"/>
                <w:sz w:val="22"/>
              </w:rPr>
              <w:t>56</w:t>
            </w:r>
          </w:p>
        </w:tc>
      </w:tr>
      <w:tr>
        <w:tc>
          <w:tcPr>
            <w:tcW w:type="dxa" w:w="907"/>
            <w:shd w:val="clear" w:color="auto" w:fill="F2F2F2"/>
          </w:tcPr>
          <w:p>
            <w:r/>
            <w:r>
              <w:rPr>
                <w:b w:val="0"/>
                <w:sz w:val="22"/>
              </w:rPr>
              <w:t>M3.1</w:t>
            </w:r>
          </w:p>
        </w:tc>
        <w:tc>
          <w:tcPr>
            <w:tcW w:type="dxa" w:w="5669"/>
            <w:shd w:val="clear" w:color="auto" w:fill="F2F2F2"/>
          </w:tcPr>
          <w:p>
            <w:r/>
            <w:r>
              <w:rPr>
                <w:b w:val="0"/>
                <w:sz w:val="22"/>
              </w:rPr>
              <w:t>Analyser le bilan de la structure</w:t>
            </w:r>
          </w:p>
        </w:tc>
        <w:tc>
          <w:tcPr>
            <w:tcW w:type="dxa" w:w="1701"/>
            <w:shd w:val="clear" w:color="auto" w:fill="F2F2F2"/>
          </w:tcPr>
          <w:p>
            <w:r/>
            <w:r>
              <w:rPr>
                <w:b w:val="0"/>
                <w:sz w:val="22"/>
              </w:rPr>
              <w:t>CCP3</w:t>
            </w:r>
          </w:p>
        </w:tc>
        <w:tc>
          <w:tcPr>
            <w:tcW w:type="dxa" w:w="1247"/>
            <w:shd w:val="clear" w:color="auto" w:fill="F2F2F2"/>
          </w:tcPr>
          <w:p>
            <w:r/>
            <w:r>
              <w:rPr>
                <w:b w:val="0"/>
                <w:sz w:val="22"/>
              </w:rPr>
              <w:t>49</w:t>
            </w:r>
          </w:p>
        </w:tc>
      </w:tr>
      <w:tr>
        <w:tc>
          <w:tcPr>
            <w:tcW w:type="dxa" w:w="907"/>
          </w:tcPr>
          <w:p>
            <w:r/>
            <w:r>
              <w:rPr>
                <w:b w:val="0"/>
                <w:sz w:val="22"/>
              </w:rPr>
              <w:t>M3.2</w:t>
            </w:r>
          </w:p>
        </w:tc>
        <w:tc>
          <w:tcPr>
            <w:tcW w:type="dxa" w:w="5669"/>
          </w:tcPr>
          <w:p>
            <w:r/>
            <w:r>
              <w:rPr>
                <w:b w:val="0"/>
                <w:sz w:val="22"/>
              </w:rPr>
              <w:t>Analyser le compte de résultat de la structure</w:t>
            </w:r>
          </w:p>
        </w:tc>
        <w:tc>
          <w:tcPr>
            <w:tcW w:type="dxa" w:w="1701"/>
          </w:tcPr>
          <w:p>
            <w:r/>
            <w:r>
              <w:rPr>
                <w:b w:val="0"/>
                <w:sz w:val="22"/>
              </w:rPr>
              <w:t>CCP3</w:t>
            </w:r>
          </w:p>
        </w:tc>
        <w:tc>
          <w:tcPr>
            <w:tcW w:type="dxa" w:w="1247"/>
          </w:tcPr>
          <w:p>
            <w:r/>
            <w:r>
              <w:rPr>
                <w:b w:val="0"/>
                <w:sz w:val="22"/>
              </w:rPr>
              <w:t>49</w:t>
            </w:r>
          </w:p>
        </w:tc>
      </w:tr>
      <w:tr>
        <w:tc>
          <w:tcPr>
            <w:tcW w:type="dxa" w:w="907"/>
            <w:shd w:val="clear" w:color="auto" w:fill="F2F2F2"/>
          </w:tcPr>
          <w:p>
            <w:r/>
            <w:r>
              <w:rPr>
                <w:b w:val="0"/>
                <w:sz w:val="22"/>
              </w:rPr>
              <w:t>M3.3</w:t>
            </w:r>
          </w:p>
        </w:tc>
        <w:tc>
          <w:tcPr>
            <w:tcW w:type="dxa" w:w="5669"/>
            <w:shd w:val="clear" w:color="auto" w:fill="F2F2F2"/>
          </w:tcPr>
          <w:p>
            <w:r/>
            <w:r>
              <w:rPr>
                <w:b w:val="0"/>
                <w:sz w:val="22"/>
              </w:rPr>
              <w:t>Rédiger le rapport d'activité de la structure</w:t>
            </w:r>
          </w:p>
        </w:tc>
        <w:tc>
          <w:tcPr>
            <w:tcW w:type="dxa" w:w="1701"/>
            <w:shd w:val="clear" w:color="auto" w:fill="F2F2F2"/>
          </w:tcPr>
          <w:p>
            <w:r/>
            <w:r>
              <w:rPr>
                <w:b w:val="0"/>
                <w:sz w:val="22"/>
              </w:rPr>
              <w:t>CCP3</w:t>
            </w:r>
          </w:p>
        </w:tc>
        <w:tc>
          <w:tcPr>
            <w:tcW w:type="dxa" w:w="1247"/>
            <w:shd w:val="clear" w:color="auto" w:fill="F2F2F2"/>
          </w:tcPr>
          <w:p>
            <w:r/>
            <w:r>
              <w:rPr>
                <w:b w:val="0"/>
                <w:sz w:val="22"/>
              </w:rPr>
              <w:t>42</w:t>
            </w:r>
          </w:p>
        </w:tc>
      </w:tr>
      <w:tr>
        <w:tc>
          <w:tcPr>
            <w:tcW w:type="dxa" w:w="907"/>
          </w:tcPr>
          <w:p>
            <w:r/>
            <w:r>
              <w:rPr>
                <w:b w:val="0"/>
                <w:sz w:val="22"/>
              </w:rPr>
              <w:t>T1</w:t>
            </w:r>
          </w:p>
        </w:tc>
        <w:tc>
          <w:tcPr>
            <w:tcW w:type="dxa" w:w="5669"/>
          </w:tcPr>
          <w:p>
            <w:r/>
            <w:r>
              <w:rPr>
                <w:b w:val="0"/>
                <w:sz w:val="22"/>
              </w:rPr>
              <w:t>IA, données et gouvernance du dirigeant (module distinctif YEBA)</w:t>
            </w:r>
          </w:p>
        </w:tc>
        <w:tc>
          <w:tcPr>
            <w:tcW w:type="dxa" w:w="1701"/>
          </w:tcPr>
          <w:p>
            <w:r/>
            <w:r>
              <w:rPr>
                <w:b w:val="0"/>
                <w:sz w:val="22"/>
              </w:rPr>
              <w:t>Transversal</w:t>
            </w:r>
          </w:p>
        </w:tc>
        <w:tc>
          <w:tcPr>
            <w:tcW w:type="dxa" w:w="1247"/>
          </w:tcPr>
          <w:p>
            <w:r/>
            <w:r>
              <w:rPr>
                <w:b w:val="0"/>
                <w:sz w:val="22"/>
              </w:rPr>
              <w:t>42</w:t>
            </w:r>
          </w:p>
        </w:tc>
      </w:tr>
      <w:tr>
        <w:tc>
          <w:tcPr>
            <w:tcW w:type="dxa" w:w="907"/>
            <w:shd w:val="clear" w:color="auto" w:fill="F2F2F2"/>
          </w:tcPr>
          <w:p>
            <w:r/>
            <w:r>
              <w:rPr>
                <w:b w:val="0"/>
                <w:sz w:val="22"/>
              </w:rPr>
              <w:t>T2</w:t>
            </w:r>
          </w:p>
        </w:tc>
        <w:tc>
          <w:tcPr>
            <w:tcW w:type="dxa" w:w="5669"/>
            <w:shd w:val="clear" w:color="auto" w:fill="F2F2F2"/>
          </w:tcPr>
          <w:p>
            <w:r/>
            <w:r>
              <w:rPr>
                <w:b w:val="0"/>
                <w:sz w:val="22"/>
              </w:rPr>
              <w:t>Anglais professionnel de base</w:t>
            </w:r>
          </w:p>
        </w:tc>
        <w:tc>
          <w:tcPr>
            <w:tcW w:type="dxa" w:w="1701"/>
            <w:shd w:val="clear" w:color="auto" w:fill="F2F2F2"/>
          </w:tcPr>
          <w:p>
            <w:r/>
            <w:r>
              <w:rPr>
                <w:b w:val="0"/>
                <w:sz w:val="22"/>
              </w:rPr>
              <w:t>Transversal</w:t>
            </w:r>
          </w:p>
        </w:tc>
        <w:tc>
          <w:tcPr>
            <w:tcW w:type="dxa" w:w="1247"/>
            <w:shd w:val="clear" w:color="auto" w:fill="F2F2F2"/>
          </w:tcPr>
          <w:p>
            <w:r/>
            <w:r>
              <w:rPr>
                <w:b w:val="0"/>
                <w:sz w:val="22"/>
              </w:rPr>
              <w:t>14</w:t>
            </w:r>
          </w:p>
        </w:tc>
      </w:tr>
      <w:tr>
        <w:tc>
          <w:tcPr>
            <w:tcW w:type="dxa" w:w="907"/>
          </w:tcPr>
          <w:p>
            <w:r/>
            <w:r>
              <w:rPr>
                <w:b w:val="0"/>
                <w:sz w:val="22"/>
              </w:rPr>
              <w:t>T3</w:t>
            </w:r>
          </w:p>
        </w:tc>
        <w:tc>
          <w:tcPr>
            <w:tcW w:type="dxa" w:w="5669"/>
          </w:tcPr>
          <w:p>
            <w:r/>
            <w:r>
              <w:rPr>
                <w:b w:val="0"/>
                <w:sz w:val="22"/>
              </w:rPr>
              <w:t>Dossier de projet, dossier professionnel et diaporama</w:t>
            </w:r>
          </w:p>
        </w:tc>
        <w:tc>
          <w:tcPr>
            <w:tcW w:type="dxa" w:w="1701"/>
          </w:tcPr>
          <w:p>
            <w:r/>
            <w:r>
              <w:rPr>
                <w:b w:val="0"/>
                <w:sz w:val="22"/>
              </w:rPr>
              <w:t>Transversal</w:t>
            </w:r>
          </w:p>
        </w:tc>
        <w:tc>
          <w:tcPr>
            <w:tcW w:type="dxa" w:w="1247"/>
          </w:tcPr>
          <w:p>
            <w:r/>
            <w:r>
              <w:rPr>
                <w:b w:val="0"/>
                <w:sz w:val="22"/>
              </w:rPr>
              <w:t>21</w:t>
            </w:r>
          </w:p>
        </w:tc>
      </w:tr>
      <w:tr>
        <w:tc>
          <w:tcPr>
            <w:tcW w:type="dxa" w:w="907"/>
            <w:shd w:val="clear" w:color="auto" w:fill="F2F2F2"/>
          </w:tcPr>
          <w:p>
            <w:r/>
            <w:r>
              <w:rPr>
                <w:b w:val="0"/>
                <w:sz w:val="22"/>
              </w:rPr>
              <w:t>T4</w:t>
            </w:r>
          </w:p>
        </w:tc>
        <w:tc>
          <w:tcPr>
            <w:tcW w:type="dxa" w:w="5669"/>
            <w:shd w:val="clear" w:color="auto" w:fill="F2F2F2"/>
          </w:tcPr>
          <w:p>
            <w:r/>
            <w:r>
              <w:rPr>
                <w:b w:val="0"/>
                <w:sz w:val="22"/>
              </w:rPr>
              <w:t>Préparation de la période en entreprise et insertion</w:t>
            </w:r>
          </w:p>
        </w:tc>
        <w:tc>
          <w:tcPr>
            <w:tcW w:type="dxa" w:w="1701"/>
            <w:shd w:val="clear" w:color="auto" w:fill="F2F2F2"/>
          </w:tcPr>
          <w:p>
            <w:r/>
            <w:r>
              <w:rPr>
                <w:b w:val="0"/>
                <w:sz w:val="22"/>
              </w:rPr>
              <w:t>Transversal</w:t>
            </w:r>
          </w:p>
        </w:tc>
        <w:tc>
          <w:tcPr>
            <w:tcW w:type="dxa" w:w="1247"/>
            <w:shd w:val="clear" w:color="auto" w:fill="F2F2F2"/>
          </w:tcPr>
          <w:p>
            <w:r/>
            <w:r>
              <w:rPr>
                <w:b w:val="0"/>
                <w:sz w:val="22"/>
              </w:rPr>
              <w:t>14</w:t>
            </w:r>
          </w:p>
        </w:tc>
      </w:tr>
      <w:tr>
        <w:tc>
          <w:tcPr>
            <w:tcW w:type="dxa" w:w="907"/>
          </w:tcPr>
          <w:p>
            <w:r/>
            <w:r>
              <w:rPr>
                <w:b w:val="0"/>
                <w:sz w:val="22"/>
              </w:rPr>
              <w:t>T5</w:t>
            </w:r>
          </w:p>
        </w:tc>
        <w:tc>
          <w:tcPr>
            <w:tcW w:type="dxa" w:w="5669"/>
          </w:tcPr>
          <w:p>
            <w:r/>
            <w:r>
              <w:rPr>
                <w:b w:val="0"/>
                <w:sz w:val="22"/>
              </w:rPr>
              <w:t>Entraînement à l'épreuve du titre</w:t>
            </w:r>
          </w:p>
        </w:tc>
        <w:tc>
          <w:tcPr>
            <w:tcW w:type="dxa" w:w="1701"/>
          </w:tcPr>
          <w:p>
            <w:r/>
            <w:r>
              <w:rPr>
                <w:b w:val="0"/>
                <w:sz w:val="22"/>
              </w:rPr>
              <w:t>Transversal</w:t>
            </w:r>
          </w:p>
        </w:tc>
        <w:tc>
          <w:tcPr>
            <w:tcW w:type="dxa" w:w="1247"/>
          </w:tcPr>
          <w:p>
            <w:r/>
            <w:r>
              <w:rPr>
                <w:b w:val="0"/>
                <w:sz w:val="22"/>
              </w:rPr>
              <w:t>14</w:t>
            </w:r>
          </w:p>
        </w:tc>
      </w:tr>
      <w:tr>
        <w:tc>
          <w:tcPr>
            <w:tcW w:type="dxa" w:w="907"/>
            <w:shd w:val="clear" w:color="auto" w:fill="F2F2F2"/>
          </w:tcPr>
          <w:p>
            <w:r/>
            <w:r>
              <w:rPr>
                <w:b w:val="0"/>
                <w:sz w:val="22"/>
              </w:rPr>
              <w:t>T6</w:t>
            </w:r>
          </w:p>
        </w:tc>
        <w:tc>
          <w:tcPr>
            <w:tcW w:type="dxa" w:w="5669"/>
            <w:shd w:val="clear" w:color="auto" w:fill="F2F2F2"/>
          </w:tcPr>
          <w:p>
            <w:r/>
            <w:r>
              <w:rPr>
                <w:b w:val="0"/>
                <w:sz w:val="22"/>
              </w:rPr>
              <w:t>Suivi individuel et prévention du décrochage</w:t>
            </w:r>
          </w:p>
        </w:tc>
        <w:tc>
          <w:tcPr>
            <w:tcW w:type="dxa" w:w="1701"/>
            <w:shd w:val="clear" w:color="auto" w:fill="F2F2F2"/>
          </w:tcPr>
          <w:p>
            <w:r/>
            <w:r>
              <w:rPr>
                <w:b w:val="0"/>
                <w:sz w:val="22"/>
              </w:rPr>
              <w:t>Transversal</w:t>
            </w:r>
          </w:p>
        </w:tc>
        <w:tc>
          <w:tcPr>
            <w:tcW w:type="dxa" w:w="1247"/>
            <w:shd w:val="clear" w:color="auto" w:fill="F2F2F2"/>
          </w:tcPr>
          <w:p>
            <w:r/>
            <w:r>
              <w:rPr>
                <w:b w:val="0"/>
                <w:sz w:val="22"/>
              </w:rPr>
              <w:t>7</w:t>
            </w:r>
          </w:p>
        </w:tc>
      </w:tr>
      <w:tr>
        <w:tc>
          <w:tcPr>
            <w:tcW w:type="dxa" w:w="907"/>
          </w:tcPr>
          <w:p>
            <w:r/>
          </w:p>
        </w:tc>
        <w:tc>
          <w:tcPr>
            <w:tcW w:type="dxa" w:w="5669"/>
          </w:tcPr>
          <w:p>
            <w:r/>
            <w:r>
              <w:rPr>
                <w:b/>
                <w:sz w:val="22"/>
              </w:rPr>
              <w:t>Total en centre</w:t>
            </w:r>
          </w:p>
        </w:tc>
        <w:tc>
          <w:tcPr>
            <w:tcW w:type="dxa" w:w="1701"/>
          </w:tcPr>
          <w:p>
            <w:r/>
          </w:p>
        </w:tc>
        <w:tc>
          <w:tcPr>
            <w:tcW w:type="dxa" w:w="1247"/>
          </w:tcPr>
          <w:p>
            <w:r/>
            <w:r>
              <w:rPr>
                <w:b/>
                <w:sz w:val="22"/>
              </w:rPr>
              <w:t>595</w:t>
            </w:r>
          </w:p>
        </w:tc>
      </w:tr>
      <w:tr>
        <w:tc>
          <w:tcPr>
            <w:tcW w:type="dxa" w:w="907"/>
            <w:shd w:val="clear" w:color="auto" w:fill="F2F2F2"/>
          </w:tcPr>
          <w:p>
            <w:r/>
            <w:r>
              <w:rPr>
                <w:b w:val="0"/>
                <w:sz w:val="22"/>
              </w:rPr>
              <w:t>PAE</w:t>
            </w:r>
          </w:p>
        </w:tc>
        <w:tc>
          <w:tcPr>
            <w:tcW w:type="dxa" w:w="5669"/>
            <w:shd w:val="clear" w:color="auto" w:fill="F2F2F2"/>
          </w:tcPr>
          <w:p>
            <w:r/>
            <w:r>
              <w:rPr>
                <w:b w:val="0"/>
                <w:sz w:val="22"/>
              </w:rPr>
              <w:t>Période en entreprise</w:t>
            </w:r>
          </w:p>
        </w:tc>
        <w:tc>
          <w:tcPr>
            <w:tcW w:type="dxa" w:w="1701"/>
            <w:shd w:val="clear" w:color="auto" w:fill="F2F2F2"/>
          </w:tcPr>
          <w:p>
            <w:r/>
            <w:r>
              <w:rPr>
                <w:b w:val="0"/>
                <w:sz w:val="22"/>
              </w:rPr>
              <w:t>Tous</w:t>
            </w:r>
          </w:p>
        </w:tc>
        <w:tc>
          <w:tcPr>
            <w:tcW w:type="dxa" w:w="1247"/>
            <w:shd w:val="clear" w:color="auto" w:fill="F2F2F2"/>
          </w:tcPr>
          <w:p>
            <w:r/>
            <w:r>
              <w:rPr>
                <w:b w:val="0"/>
                <w:sz w:val="22"/>
              </w:rPr>
              <w:t>210</w:t>
            </w:r>
          </w:p>
        </w:tc>
      </w:tr>
    </w:tbl>
    <w:p/>
    <w:p>
      <w:pPr>
        <w:pStyle w:val="Heading1"/>
      </w:pPr>
      <w:r>
        <w:t>6. Méthodes et moyens pédagogiques</w:t>
      </w:r>
    </w:p>
    <w:p>
      <w:pPr>
        <w:pStyle w:val="ListBullet"/>
      </w:pPr>
      <w:r>
        <w:rPr>
          <w:b w:val="0"/>
        </w:rPr>
        <w:t>Pédagogie active : études de cas réunionnais, jeux de rôle, simulations, ateliers en sous-groupes, classe inversée.</w:t>
      </w:r>
    </w:p>
    <w:p>
      <w:pPr>
        <w:pStyle w:val="ListBullet"/>
      </w:pPr>
      <w:r>
        <w:rPr>
          <w:b w:val="0"/>
        </w:rPr>
        <w:t>Projet fil rouge relié à la période en entreprise.</w:t>
      </w:r>
    </w:p>
    <w:p>
      <w:pPr>
        <w:pStyle w:val="ListBullet"/>
      </w:pPr>
      <w:r>
        <w:rPr>
          <w:b w:val="0"/>
        </w:rPr>
        <w:t>Supports projetés en gros caractères, contrastés, transmis en version numérique accessible.</w:t>
      </w:r>
    </w:p>
    <w:p>
      <w:pPr>
        <w:pStyle w:val="ListBullet"/>
      </w:pPr>
      <w:r>
        <w:rPr>
          <w:b w:val="0"/>
        </w:rPr>
        <w:t xml:space="preserve">Salle équipée : </w:t>
      </w:r>
      <w:r>
        <w:rPr>
          <w:b w:val="0"/>
          <w:highlight w:val="yellow"/>
        </w:rPr>
        <w:t>[À COMPLÉTER : postes informatiques, vidéoprojecteur, connexion, logiciels bureautiques]</w:t>
      </w:r>
      <w:r>
        <w:rPr>
          <w:b w:val="0"/>
        </w:rPr>
        <w:t>.</w:t>
      </w:r>
    </w:p>
    <w:p>
      <w:pPr>
        <w:pStyle w:val="ListBullet"/>
      </w:pPr>
      <w:r>
        <w:rPr>
          <w:b w:val="0"/>
        </w:rPr>
        <w:t>Formateurs : professionnels du management, du commerce et de la gestion — CV et justificatifs tenus à disposition (Qualiopi indicateur 21).</w:t>
      </w:r>
    </w:p>
    <w:p>
      <w:pPr>
        <w:pStyle w:val="Heading1"/>
      </w:pPr>
      <w:r>
        <w:t>7. Modalités d'évaluation et de validation</w:t>
      </w:r>
    </w:p>
    <w:p>
      <w:pPr>
        <w:pStyle w:val="ListBullet"/>
      </w:pPr>
      <w:r>
        <w:rPr>
          <w:b w:val="0"/>
        </w:rPr>
        <w:t>Positionnement à l'entrée (non éliminatoire), évaluations formatives à la fin de chaque module (grilles critériées), épreuves blanches.</w:t>
      </w:r>
    </w:p>
    <w:p>
      <w:pPr>
        <w:pStyle w:val="ListBullet"/>
      </w:pPr>
      <w:r>
        <w:rPr>
          <w:b w:val="0"/>
        </w:rPr>
        <w:t>Session de validation organisée selon l'arrêté du 22 décembre 2015 modifié : 1 h 35 par candidat (présentation d'un projet réalisé en amont 45 min + entretien technique 30 min + entretien final 20 min).</w:t>
      </w:r>
    </w:p>
    <w:p>
      <w:pPr>
        <w:pStyle w:val="ListBullet"/>
      </w:pPr>
      <w:r>
        <w:rPr>
          <w:b w:val="0"/>
        </w:rPr>
        <w:t>Validation totale (titre) ou partielle (un ou plusieurs CCP capitalisables, sans limite de durée de validité dans le cadre du titre en vigueur).</w:t>
      </w:r>
    </w:p>
    <w:p>
      <w:pPr>
        <w:pStyle w:val="ListBullet"/>
      </w:pPr>
      <w:r>
        <w:rPr>
          <w:b w:val="0"/>
        </w:rPr>
        <w:t>Délivrance : titre ou CCP délivré par le ministère chargé de l'emploi ; attestation de fin de formation et certificat de réalisation remis par l'organisme.</w:t>
      </w:r>
    </w:p>
    <w:p>
      <w:pPr>
        <w:pStyle w:val="Heading1"/>
      </w:pPr>
      <w:r>
        <w:t>8. Financements possibles</w:t>
      </w:r>
    </w:p>
    <w:p>
      <w:pPr>
        <w:pStyle w:val="ListBullet"/>
      </w:pPr>
      <w:r>
        <w:rPr>
          <w:b w:val="0"/>
        </w:rPr>
        <w:t>Compte personnel de formation (CPF) — titre éligible par principe (certification RNCP).</w:t>
      </w:r>
    </w:p>
    <w:p>
      <w:pPr>
        <w:pStyle w:val="ListBullet"/>
      </w:pPr>
      <w:r>
        <w:rPr>
          <w:b w:val="0"/>
        </w:rPr>
        <w:t>France Travail : aide individuelle à la formation (AIF), action de formation conventionnée, préparation opérationnelle à l'emploi (POEI / POEC).</w:t>
      </w:r>
    </w:p>
    <w:p>
      <w:pPr>
        <w:pStyle w:val="ListBullet"/>
      </w:pPr>
      <w:r>
        <w:rPr>
          <w:b w:val="0"/>
        </w:rPr>
        <w:t xml:space="preserve">Région Réunion : programme régional de formation des demandeurs d'emploi </w:t>
      </w:r>
      <w:r>
        <w:rPr>
          <w:b w:val="0"/>
          <w:highlight w:val="yellow"/>
        </w:rPr>
        <w:t>[À VÉRIFIER : marché ou dispositif ouvert en 2026-2027]</w:t>
      </w:r>
      <w:r>
        <w:rPr>
          <w:b w:val="0"/>
        </w:rPr>
        <w: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 (PTP).</w:t>
      </w:r>
    </w:p>
    <w:p>
      <w:pPr>
        <w:pStyle w:val="ListBullet"/>
      </w:pPr>
      <w:r>
        <w:rPr>
          <w:b w:val="0"/>
        </w:rPr>
        <w:t>Agefiph : aides complémentaires pour les personnes en situation de handicap.</w:t>
      </w:r>
    </w:p>
    <w:p>
      <w:r>
        <w:rPr>
          <w:b w:val="0"/>
        </w:rPr>
        <w:t xml:space="preserve">Tarif : </w:t>
      </w:r>
      <w:r>
        <w:rPr>
          <w:b w:val="0"/>
          <w:highlight w:val="yellow"/>
        </w:rPr>
        <w:t>[À COMPLÉTER : prix total TTC/exonéré ; prix par CCP ; coût horaire]</w:t>
      </w:r>
      <w:r>
        <w:rPr>
          <w:b w:val="0"/>
        </w:rPr>
        <w:t xml:space="preserve">. Exonération de TVA : </w:t>
      </w:r>
      <w:r>
        <w:rPr>
          <w:b w:val="0"/>
          <w:highlight w:val="yellow"/>
        </w:rPr>
        <w:t>[À VÉRIFIER : attestation d'exonération TVA formation professionnelle (art. 261-4-4° du CGI)]</w:t>
      </w:r>
      <w:r>
        <w:rPr>
          <w:b w:val="0"/>
        </w:rPr>
        <w:t>.</w:t>
      </w:r>
    </w:p>
    <w:p>
      <w:pPr>
        <w:pStyle w:val="Heading1"/>
      </w:pPr>
      <w:r>
        <w:t>9. Accessibilité et handicap</w:t>
      </w:r>
    </w:p>
    <w:p>
      <w:r>
        <w:rPr>
          <w:b w:val="0"/>
        </w:rPr>
        <w:t xml:space="preserve">Référent handicap : Aurélien LUMEKA (référent handicap certifié) — </w:t>
      </w:r>
      <w:r>
        <w:rPr>
          <w:b w:val="0"/>
          <w:highlight w:val="yellow"/>
        </w:rPr>
        <w:t>[À COMPLÉTER : téléphone]</w:t>
      </w:r>
      <w:r>
        <w:rPr>
          <w:b w:val="0"/>
        </w:rPr>
        <w:t>. Entretien confidentiel avant l'entrée pour étudier les aménagements (rythme, supports agrandis, temps majoré aux épreuves selon la réglementation des titres professionnels, matériel adapté), en lien avec l'Agefiph, Cap emploi et la MDPH.</w:t>
      </w:r>
    </w:p>
    <w:p>
      <w:pPr>
        <w:pStyle w:val="Heading1"/>
      </w:pPr>
      <w:r>
        <w:t>10. Débouchés, suites de parcours et résultats</w:t>
      </w:r>
    </w:p>
    <w:p>
      <w:r>
        <w:rPr>
          <w:b w:val="0"/>
        </w:rPr>
        <w:t>Emplois visés : Manager, chef, responsable, directeur adjoint, directeur, délégué … de proximité, d'agence, d'unité, de centre de profit, de site, d'établissement, d'entreprise ou d'association (moins de 50 salariés).</w:t>
      </w:r>
    </w:p>
    <w:p>
      <w:r>
        <w:rPr>
          <w:b w:val="0"/>
        </w:rPr>
        <w:t>Indicateurs nationaux : Taux d'insertion global à 6 mois : 69 % ; dans le métier visé à 6 mois : 66 % ; à 2 ans : 78 % (440 certifiés en 2022) — source : fiche RNCP38575.</w:t>
      </w:r>
    </w:p>
    <w:p>
      <w:r>
        <w:rPr>
          <w:b w:val="0"/>
        </w:rPr>
        <w:t xml:space="preserve">Indicateurs YEBA FORMATIONS (publiés et mis à jour après chaque session — Qualiopi indicateur 2) : taux de satisfaction, taux d'abandon, taux de réussite au titre, taux d'insertion à 6 mois : </w:t>
      </w:r>
      <w:r>
        <w:rPr>
          <w:b w:val="0"/>
          <w:highlight w:val="yellow"/>
        </w:rPr>
        <w:t>[À COMPLÉTER après la 1re session — ne jamais publier de chiffre estimé]</w:t>
      </w:r>
      <w:r>
        <w:rPr>
          <w:b w:val="0"/>
        </w:rPr>
        <w:t>.</w:t>
      </w:r>
    </w:p>
    <w:p>
      <w:pPr>
        <w:pStyle w:val="Heading1"/>
      </w:pPr>
      <w:r>
        <w:t>11. Contact</w:t>
      </w:r>
    </w:p>
    <w:p>
      <w:r>
        <w:rPr>
          <w:b w:val="0"/>
        </w:rPr>
        <w:t xml:space="preserve">YEBA FORMATIONS — </w:t>
      </w:r>
      <w:r>
        <w:rPr>
          <w:b w:val="0"/>
          <w:highlight w:val="yellow"/>
        </w:rPr>
        <w:t>[À COMPLÉTER : adresse du siège]</w:t>
      </w:r>
      <w:r>
        <w:rPr>
          <w:b w:val="0"/>
        </w:rPr>
        <w:t xml:space="preserve"> — </w:t>
      </w:r>
      <w:r>
        <w:rPr>
          <w:b w:val="0"/>
          <w:highlight w:val="yellow"/>
        </w:rPr>
        <w:t>[À COMPLÉTER : téléphone]</w:t>
      </w:r>
      <w:r>
        <w:rPr>
          <w:b w:val="0"/>
        </w:rPr>
        <w:t xml:space="preserve"> — </w:t>
      </w:r>
      <w:r>
        <w:rPr>
          <w:b w:val="0"/>
          <w:highlight w:val="yellow"/>
        </w:rPr>
        <w:t>[À COMPLÉTER : e-mail de contact]</w:t>
      </w:r>
    </w:p>
    <w:tbl>
      <w:tblPr>
        <w:tblStyle w:val="TableGrid"/>
        <w:tblW w:type="auto" w:w="0"/>
        <w:tblLook w:firstColumn="1" w:firstRow="1" w:lastColumn="0" w:lastRow="0" w:noHBand="0" w:noVBand="1" w:val="04A0"/>
      </w:tblPr>
      <w:tblGrid>
        <w:gridCol w:w="9638"/>
      </w:tblGrid>
      <w:tr>
        <w:tc>
          <w:tcPr>
            <w:tcW w:type="dxa" w:w="9638"/>
            <w:shd w:val="clear" w:color="auto" w:fill="FBF6E9"/>
          </w:tcPr>
          <w:p>
            <w:r/>
            <w:r>
              <w:rPr>
                <w:b/>
                <w:color w:val="1B3A6B"/>
                <w:sz w:val="24"/>
              </w:rPr>
              <w:t>🔒 RGPD / IA Act — points de conformité de ce document</w:t>
            </w:r>
          </w:p>
          <w:p>
            <w:r>
              <w:rPr>
                <w:b w:val="0"/>
                <w:sz w:val="22"/>
              </w:rPr>
              <w:t>RGPD : les données collectées à l'inscription servent uniquement à la gestion de la formation et aux obligations envers les financeurs (art. 6.1.b et 6.1.c RGPD). Voir la mention d'information jointe à la fiche d'inscription.</w:t>
            </w:r>
          </w:p>
          <w:p>
            <w:r>
              <w:rPr>
                <w:b w:val="0"/>
                <w:sz w:val="22"/>
              </w:rPr>
              <w:t>IA Act : aucune décision d'admission, d'orientation ou d'évaluation n'est prise par un système d'IA (ces usages relèvent de l'annexe III, point 3 — haut risque). Les décisions sont prises par une personne habilitée.</w:t>
            </w:r>
          </w:p>
        </w:tc>
      </w:tr>
    </w:tbl>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PRG-RPMS  —  YEBA FORMATIONS — SIRET 814 622 262 00032 — Version 2026-10 — Page </w:t>
    </w: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76510" cy="576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76510" cy="576000"/>
                  </a:xfrm>
                  <a:prstGeom prst="rect"/>
                </pic:spPr>
              </pic:pic>
            </a:graphicData>
          </a:graphic>
        </wp:inline>
      </w:drawing>
    </w:r>
    <w:r>
      <w:rPr>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9A94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 — Titre professionnel Responsable de petite ou moyenne structure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