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Procédure d'accueil des personnes en situation de handicap</w:t>
      </w:r>
    </w:p>
    <w:p>
      <w:r>
        <w:rPr>
          <w:b/>
          <w:color w:val="C9A94D"/>
          <w:sz w:val="28"/>
        </w:rPr>
        <w:t>Qualiopi indicateur 26 — Référent handicap</w:t>
      </w:r>
    </w:p>
    <w:p>
      <w:pPr>
        <w:pBdr>
          <w:bottom w:val="single" w:sz="18" w:space="1" w:color="C9A94D"/>
        </w:pBdr>
      </w:pPr>
    </w:p>
    <w:p>
      <w:pPr>
        <w:pStyle w:val="ListNumber"/>
      </w:pPr>
      <w:r>
        <w:rPr>
          <w:b w:val="0"/>
        </w:rPr>
        <w:t>Information dès la promotion : mention du référent handicap sur toutes les fiches programme et le site.</w:t>
      </w:r>
    </w:p>
    <w:p>
      <w:pPr>
        <w:pStyle w:val="ListNumber"/>
      </w:pPr>
      <w:r>
        <w:rPr>
          <w:b w:val="0"/>
        </w:rPr>
        <w:t>Entretien confidentiel avant l'entrée, à la demande de la personne : besoins, compensations déjà en place (sans exiger de document médical).</w:t>
      </w:r>
    </w:p>
    <w:p>
      <w:pPr>
        <w:pStyle w:val="ListNumber"/>
      </w:pPr>
      <w:r>
        <w:rPr>
          <w:b w:val="0"/>
        </w:rPr>
        <w:t>Construction du plan d'aménagement : rythme, supports (gros caractères, contrastes, version audio), poste adapté, pauses, accès PMR.</w:t>
      </w:r>
    </w:p>
    <w:p>
      <w:pPr>
        <w:pStyle w:val="ListNumber"/>
      </w:pPr>
      <w:r>
        <w:rPr>
          <w:b w:val="0"/>
        </w:rPr>
        <w:t xml:space="preserve">Mobilisation des partenaires : Agefiph (aides techniques, humaines), Cap emploi, MDPH, ressource handicap formation (RHF) de La Réunion </w:t>
      </w:r>
      <w:r>
        <w:rPr>
          <w:b w:val="0"/>
          <w:highlight w:val="yellow"/>
        </w:rPr>
        <w:t>[À VÉRIFIER : coordonnées]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Aménagement des épreuves du titre professionnel : demande à formuler dans les délais réglementaires auprès de la DEETS / du responsable de session, sur avis médical (règlement des sessions du titre).</w:t>
      </w:r>
    </w:p>
    <w:p>
      <w:pPr>
        <w:pStyle w:val="ListNumber"/>
      </w:pPr>
      <w:r>
        <w:rPr>
          <w:b w:val="0"/>
        </w:rPr>
        <w:t>Suivi : point mensuel, ajustement du plan, information de l'entreprise d'accueil uniquement avec l'accord de la personne.</w:t>
      </w:r>
    </w:p>
    <w:p>
      <w:pPr>
        <w:pStyle w:val="ListNumber"/>
      </w:pPr>
      <w:r>
        <w:rPr>
          <w:b w:val="0"/>
        </w:rPr>
        <w:t>Bilan en fin de parcours et amélioration de la procédure.</w:t>
      </w:r>
    </w:p>
    <w:p>
      <w:pPr>
        <w:pStyle w:val="Heading2"/>
      </w:pPr>
      <w:r>
        <w:t>Fiche confidentielle de besoins (dossier séparé)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Nom Prénom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Besoins exprimés par la personne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Aménagements pédagogiques décidés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Aménagements matériels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Aménagements d'examen à demander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Partenaires mobilisés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Accord pour informer l'entreprise d'accueil (oui/non, périmètre)</w:t>
            </w:r>
          </w:p>
        </w:tc>
        <w:tc>
          <w:tcPr>
            <w:tcW w:type="dxa" w:w="595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2F2F2"/>
          </w:tcPr>
          <w:p>
            <w:r>
              <w:rPr>
                <w:b/>
                <w:sz w:val="22"/>
              </w:rPr>
              <w:t>La personne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/>
                <w:sz w:val="22"/>
              </w:rPr>
              <w:t>Le référent handicap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🔒 RGPD / IA Act — points de conformité de ce document</w:t>
            </w:r>
          </w:p>
          <w:p>
            <w:r>
              <w:rPr>
                <w:b w:val="0"/>
                <w:sz w:val="22"/>
              </w:rPr>
              <w:t>Donnée de santé = donnée sensible (art. 9 RGPD) : consentement explicite écrit, accès limité au référent handicap, armoire ou dossier chiffré séparé.</w:t>
            </w:r>
          </w:p>
          <w:p>
            <w:r>
              <w:rPr>
                <w:b w:val="0"/>
                <w:sz w:val="22"/>
              </w:rPr>
              <w:t>Suppression à la fin du parcours (ou conservation de la seule preuve d'aménagement accordé, sans détail médical, avec le dossier stagiaire).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HAND-12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d'accueil des personnes en situation de handicap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