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3A6B"/>
          <w:sz w:val="44"/>
        </w:rPr>
        <w:t>Charte d'usage de l'intelligence artificielle</w:t>
      </w:r>
    </w:p>
    <w:p>
      <w:r>
        <w:rPr>
          <w:b/>
          <w:color w:val="C9A94D"/>
          <w:sz w:val="28"/>
        </w:rPr>
        <w:t>Formateurs, salariés et stagiaires — Règlement (UE) 2024/1689 (IA Act)</w:t>
      </w:r>
    </w:p>
    <w:p>
      <w:pPr>
        <w:pBdr>
          <w:bottom w:val="single" w:sz="18" w:space="1" w:color="C9A94D"/>
        </w:pBdr>
      </w:pPr>
    </w:p>
    <w:p>
      <w:pPr>
        <w:pStyle w:val="Heading2"/>
      </w:pPr>
      <w:r>
        <w:t>1. Pourquoi cette charte ?</w:t>
      </w:r>
    </w:p>
    <w:p>
      <w:r>
        <w:rPr>
          <w:b w:val="0"/>
        </w:rPr>
        <w:t>Depuis le 2 février 2025, l'IA Act impose aux organisations qui utilisent l'IA de garantir un niveau suffisant de maîtrise de l'IA de leur personnel (article 4) et interdit certaines pratiques (article 5). La formation professionnelle est un domaine sensible : l'annexe III, point 3, classe à haut risque les systèmes d'IA servant à l'admission, à l'évaluation des acquis, à l'orientation et à la surveillance des examens.</w:t>
      </w:r>
    </w:p>
    <w:p>
      <w:pPr>
        <w:pStyle w:val="Heading2"/>
      </w:pPr>
      <w:r>
        <w:t>2. Cartographie des usages chez YEBA FORMATIONS</w:t>
      </w:r>
    </w:p>
    <w:tbl>
      <w:tblPr>
        <w:tblStyle w:val="TableGrid"/>
        <w:tblW w:type="auto" w:w="0"/>
        <w:jc w:val="center"/>
        <w:tblLayout w:type="fixed"/>
        <w:tblLook w:firstColumn="1" w:firstRow="1" w:lastColumn="0" w:lastRow="0" w:noHBand="0" w:noVBand="1" w:val="04A0"/>
      </w:tblPr>
      <w:tblGrid>
        <w:gridCol w:w="3402"/>
        <w:gridCol w:w="2268"/>
        <w:gridCol w:w="3969"/>
      </w:tblGrid>
      <w:tr>
        <w:trPr>
          <w:tblHeader w:val="true"/>
        </w:trPr>
        <w:tc>
          <w:tcPr>
            <w:tcW w:type="dxa" w:w="3402"/>
            <w:shd w:val="clear" w:color="auto" w:fill="1B3A6B"/>
          </w:tcPr>
          <w:p>
            <w:r/>
            <w:r>
              <w:rPr>
                <w:b/>
                <w:color w:val="FFFFFF"/>
                <w:sz w:val="22"/>
              </w:rPr>
              <w:t>Usage</w:t>
            </w:r>
          </w:p>
        </w:tc>
        <w:tc>
          <w:tcPr>
            <w:tcW w:type="dxa" w:w="2268"/>
            <w:shd w:val="clear" w:color="auto" w:fill="1B3A6B"/>
          </w:tcPr>
          <w:p>
            <w:r/>
            <w:r>
              <w:rPr>
                <w:b/>
                <w:color w:val="FFFFFF"/>
                <w:sz w:val="22"/>
              </w:rPr>
              <w:t>Niveau IA Act</w:t>
            </w:r>
          </w:p>
        </w:tc>
        <w:tc>
          <w:tcPr>
            <w:tcW w:type="dxa" w:w="3969"/>
            <w:shd w:val="clear" w:color="auto" w:fill="1B3A6B"/>
          </w:tcPr>
          <w:p>
            <w:r/>
            <w:r>
              <w:rPr>
                <w:b/>
                <w:color w:val="FFFFFF"/>
                <w:sz w:val="22"/>
              </w:rPr>
              <w:t>Règle YEBA</w:t>
            </w:r>
          </w:p>
        </w:tc>
      </w:tr>
      <w:tr>
        <w:tc>
          <w:tcPr>
            <w:tcW w:type="dxa" w:w="3402"/>
          </w:tcPr>
          <w:p>
            <w:r/>
            <w:r>
              <w:rPr>
                <w:b w:val="0"/>
                <w:sz w:val="22"/>
              </w:rPr>
              <w:t>Préparer des supports, des cas pratiques, des quiz</w:t>
            </w:r>
          </w:p>
        </w:tc>
        <w:tc>
          <w:tcPr>
            <w:tcW w:type="dxa" w:w="2268"/>
          </w:tcPr>
          <w:p>
            <w:r/>
            <w:r>
              <w:rPr>
                <w:b w:val="0"/>
                <w:sz w:val="22"/>
              </w:rPr>
              <w:t>Risque minimal</w:t>
            </w:r>
          </w:p>
        </w:tc>
        <w:tc>
          <w:tcPr>
            <w:tcW w:type="dxa" w:w="3969"/>
          </w:tcPr>
          <w:p>
            <w:r/>
            <w:r>
              <w:rPr>
                <w:b w:val="0"/>
                <w:sz w:val="22"/>
              </w:rPr>
              <w:t>Autorisé — relecture humaine systématique, aucune donnée personnelle</w:t>
            </w:r>
          </w:p>
        </w:tc>
      </w:tr>
      <w:tr>
        <w:tc>
          <w:tcPr>
            <w:tcW w:type="dxa" w:w="3402"/>
            <w:shd w:val="clear" w:color="auto" w:fill="F2F2F2"/>
          </w:tcPr>
          <w:p>
            <w:r/>
            <w:r>
              <w:rPr>
                <w:b w:val="0"/>
                <w:sz w:val="22"/>
              </w:rPr>
              <w:t>Assistant conversationnel pour informer des prospects</w:t>
            </w:r>
          </w:p>
        </w:tc>
        <w:tc>
          <w:tcPr>
            <w:tcW w:type="dxa" w:w="2268"/>
            <w:shd w:val="clear" w:color="auto" w:fill="F2F2F2"/>
          </w:tcPr>
          <w:p>
            <w:r/>
            <w:r>
              <w:rPr>
                <w:b w:val="0"/>
                <w:sz w:val="22"/>
              </w:rPr>
              <w:t>Transparence (art. 50)</w:t>
            </w:r>
          </w:p>
        </w:tc>
        <w:tc>
          <w:tcPr>
            <w:tcW w:type="dxa" w:w="3969"/>
            <w:shd w:val="clear" w:color="auto" w:fill="F2F2F2"/>
          </w:tcPr>
          <w:p>
            <w:r/>
            <w:r>
              <w:rPr>
                <w:b w:val="0"/>
                <w:sz w:val="22"/>
              </w:rPr>
              <w:t>Autorisé si la personne est informée qu'elle échange avec une IA</w:t>
            </w:r>
          </w:p>
        </w:tc>
      </w:tr>
      <w:tr>
        <w:tc>
          <w:tcPr>
            <w:tcW w:type="dxa" w:w="3402"/>
          </w:tcPr>
          <w:p>
            <w:r/>
            <w:r>
              <w:rPr>
                <w:b w:val="0"/>
                <w:sz w:val="22"/>
              </w:rPr>
              <w:t>Images, vidéos ou voix générées par IA diffusées</w:t>
            </w:r>
          </w:p>
        </w:tc>
        <w:tc>
          <w:tcPr>
            <w:tcW w:type="dxa" w:w="2268"/>
          </w:tcPr>
          <w:p>
            <w:r/>
            <w:r>
              <w:rPr>
                <w:b w:val="0"/>
                <w:sz w:val="22"/>
              </w:rPr>
              <w:t>Transparence (art. 50)</w:t>
            </w:r>
          </w:p>
        </w:tc>
        <w:tc>
          <w:tcPr>
            <w:tcW w:type="dxa" w:w="3969"/>
          </w:tcPr>
          <w:p>
            <w:r/>
            <w:r>
              <w:rPr>
                <w:b w:val="0"/>
                <w:sz w:val="22"/>
              </w:rPr>
              <w:t>Mention « contenu généré par IA » obligatoire</w:t>
            </w:r>
          </w:p>
        </w:tc>
      </w:tr>
      <w:tr>
        <w:tc>
          <w:tcPr>
            <w:tcW w:type="dxa" w:w="3402"/>
            <w:shd w:val="clear" w:color="auto" w:fill="F2F2F2"/>
          </w:tcPr>
          <w:p>
            <w:r/>
            <w:r>
              <w:rPr>
                <w:b w:val="0"/>
                <w:sz w:val="22"/>
              </w:rPr>
              <w:t>Aide à la planification des sessions</w:t>
            </w:r>
          </w:p>
        </w:tc>
        <w:tc>
          <w:tcPr>
            <w:tcW w:type="dxa" w:w="2268"/>
            <w:shd w:val="clear" w:color="auto" w:fill="F2F2F2"/>
          </w:tcPr>
          <w:p>
            <w:r/>
            <w:r>
              <w:rPr>
                <w:b w:val="0"/>
                <w:sz w:val="22"/>
              </w:rPr>
              <w:t>Risque minimal</w:t>
            </w:r>
          </w:p>
        </w:tc>
        <w:tc>
          <w:tcPr>
            <w:tcW w:type="dxa" w:w="3969"/>
            <w:shd w:val="clear" w:color="auto" w:fill="F2F2F2"/>
          </w:tcPr>
          <w:p>
            <w:r/>
            <w:r>
              <w:rPr>
                <w:b w:val="0"/>
                <w:sz w:val="22"/>
              </w:rPr>
              <w:t>Autorisé — décision finale humaine</w:t>
            </w:r>
          </w:p>
        </w:tc>
      </w:tr>
      <w:tr>
        <w:tc>
          <w:tcPr>
            <w:tcW w:type="dxa" w:w="3402"/>
          </w:tcPr>
          <w:p>
            <w:r/>
            <w:r>
              <w:rPr>
                <w:b w:val="0"/>
                <w:sz w:val="22"/>
              </w:rPr>
              <w:t>Sélection ou classement des candidats à l'entrée</w:t>
            </w:r>
          </w:p>
        </w:tc>
        <w:tc>
          <w:tcPr>
            <w:tcW w:type="dxa" w:w="2268"/>
          </w:tcPr>
          <w:p>
            <w:r/>
            <w:r>
              <w:rPr>
                <w:b w:val="0"/>
                <w:sz w:val="22"/>
              </w:rPr>
              <w:t>Haut risque (annexe III, 3a)</w:t>
            </w:r>
          </w:p>
        </w:tc>
        <w:tc>
          <w:tcPr>
            <w:tcW w:type="dxa" w:w="3969"/>
          </w:tcPr>
          <w:p>
            <w:r/>
            <w:r>
              <w:rPr>
                <w:b/>
                <w:sz w:val="22"/>
              </w:rPr>
              <w:t>Interdit chez YEBA</w:t>
            </w:r>
          </w:p>
        </w:tc>
      </w:tr>
      <w:tr>
        <w:tc>
          <w:tcPr>
            <w:tcW w:type="dxa" w:w="3402"/>
            <w:shd w:val="clear" w:color="auto" w:fill="F2F2F2"/>
          </w:tcPr>
          <w:p>
            <w:r/>
            <w:r>
              <w:rPr>
                <w:b w:val="0"/>
                <w:sz w:val="22"/>
              </w:rPr>
              <w:t>Notation ou correction automatique des évaluations</w:t>
            </w:r>
          </w:p>
        </w:tc>
        <w:tc>
          <w:tcPr>
            <w:tcW w:type="dxa" w:w="2268"/>
            <w:shd w:val="clear" w:color="auto" w:fill="F2F2F2"/>
          </w:tcPr>
          <w:p>
            <w:r/>
            <w:r>
              <w:rPr>
                <w:b w:val="0"/>
                <w:sz w:val="22"/>
              </w:rPr>
              <w:t>Haut risque (annexe III, 3b)</w:t>
            </w:r>
          </w:p>
        </w:tc>
        <w:tc>
          <w:tcPr>
            <w:tcW w:type="dxa" w:w="3969"/>
            <w:shd w:val="clear" w:color="auto" w:fill="F2F2F2"/>
          </w:tcPr>
          <w:p>
            <w:r/>
            <w:r>
              <w:rPr>
                <w:b/>
                <w:sz w:val="22"/>
              </w:rPr>
              <w:t>Interdit chez YEBA</w:t>
            </w:r>
            <w:r>
              <w:rPr>
                <w:b w:val="0"/>
                <w:sz w:val="22"/>
              </w:rPr>
              <w:t xml:space="preserve"> (correction humaine)</w:t>
            </w:r>
          </w:p>
        </w:tc>
      </w:tr>
      <w:tr>
        <w:tc>
          <w:tcPr>
            <w:tcW w:type="dxa" w:w="3402"/>
          </w:tcPr>
          <w:p>
            <w:r/>
            <w:r>
              <w:rPr>
                <w:b w:val="0"/>
                <w:sz w:val="22"/>
              </w:rPr>
              <w:t>Détection de fraude ou surveillance pendant une épreuve</w:t>
            </w:r>
          </w:p>
        </w:tc>
        <w:tc>
          <w:tcPr>
            <w:tcW w:type="dxa" w:w="2268"/>
          </w:tcPr>
          <w:p>
            <w:r/>
            <w:r>
              <w:rPr>
                <w:b w:val="0"/>
                <w:sz w:val="22"/>
              </w:rPr>
              <w:t>Haut risque (annexe III, 3d)</w:t>
            </w:r>
          </w:p>
        </w:tc>
        <w:tc>
          <w:tcPr>
            <w:tcW w:type="dxa" w:w="3969"/>
          </w:tcPr>
          <w:p>
            <w:r/>
            <w:r>
              <w:rPr>
                <w:b/>
                <w:sz w:val="22"/>
              </w:rPr>
              <w:t>Interdit chez YEBA</w:t>
            </w:r>
          </w:p>
        </w:tc>
      </w:tr>
      <w:tr>
        <w:tc>
          <w:tcPr>
            <w:tcW w:type="dxa" w:w="3402"/>
            <w:shd w:val="clear" w:color="auto" w:fill="F2F2F2"/>
          </w:tcPr>
          <w:p>
            <w:r/>
            <w:r>
              <w:rPr>
                <w:b w:val="0"/>
                <w:sz w:val="22"/>
              </w:rPr>
              <w:t>Reconnaissance des émotions des stagiaires</w:t>
            </w:r>
          </w:p>
        </w:tc>
        <w:tc>
          <w:tcPr>
            <w:tcW w:type="dxa" w:w="2268"/>
            <w:shd w:val="clear" w:color="auto" w:fill="F2F2F2"/>
          </w:tcPr>
          <w:p>
            <w:r/>
            <w:r>
              <w:rPr>
                <w:b w:val="0"/>
                <w:sz w:val="22"/>
              </w:rPr>
              <w:t>Pratique interdite (art. 5.1.f)</w:t>
            </w:r>
          </w:p>
        </w:tc>
        <w:tc>
          <w:tcPr>
            <w:tcW w:type="dxa" w:w="3969"/>
            <w:shd w:val="clear" w:color="auto" w:fill="F2F2F2"/>
          </w:tcPr>
          <w:p>
            <w:r/>
            <w:r>
              <w:rPr>
                <w:b/>
                <w:sz w:val="22"/>
              </w:rPr>
              <w:t>Interdit par la loi</w:t>
            </w:r>
          </w:p>
        </w:tc>
      </w:tr>
      <w:tr>
        <w:tc>
          <w:tcPr>
            <w:tcW w:type="dxa" w:w="3402"/>
          </w:tcPr>
          <w:p>
            <w:r/>
            <w:r>
              <w:rPr>
                <w:b w:val="0"/>
                <w:sz w:val="22"/>
              </w:rPr>
              <w:t>Tri de CV dans le module recrutement (exercice)</w:t>
            </w:r>
          </w:p>
        </w:tc>
        <w:tc>
          <w:tcPr>
            <w:tcW w:type="dxa" w:w="2268"/>
          </w:tcPr>
          <w:p>
            <w:r/>
            <w:r>
              <w:rPr>
                <w:b w:val="0"/>
                <w:sz w:val="22"/>
              </w:rPr>
              <w:t>Haut risque (annexe III, 4)</w:t>
            </w:r>
          </w:p>
        </w:tc>
        <w:tc>
          <w:tcPr>
            <w:tcW w:type="dxa" w:w="3969"/>
          </w:tcPr>
          <w:p>
            <w:r/>
            <w:r>
              <w:rPr>
                <w:b w:val="0"/>
                <w:sz w:val="22"/>
              </w:rPr>
              <w:t>Uniquement sur CV fictifs, à titre de démonstration critique</w:t>
            </w:r>
          </w:p>
        </w:tc>
      </w:tr>
    </w:tbl>
    <w:p/>
    <w:p>
      <w:pPr>
        <w:pStyle w:val="Heading2"/>
      </w:pPr>
      <w:r>
        <w:t>3. Règles d'or</w:t>
      </w:r>
    </w:p>
    <w:p>
      <w:pPr>
        <w:pStyle w:val="ListNumber"/>
      </w:pPr>
      <w:r>
        <w:rPr>
          <w:b w:val="0"/>
        </w:rPr>
        <w:t>Je n'entre jamais de donnée personnelle (nom, e-mail, résultats, santé) dans un outil d'IA non validé par la direction.</w:t>
      </w:r>
    </w:p>
    <w:p>
      <w:pPr>
        <w:pStyle w:val="ListNumber"/>
      </w:pPr>
      <w:r>
        <w:rPr>
          <w:b w:val="0"/>
        </w:rPr>
        <w:t>J'utilise en priorité des outils hébergés dans l'Union européenne qui ne réutilisent pas mes données pour leur entraînement.</w:t>
      </w:r>
    </w:p>
    <w:p>
      <w:pPr>
        <w:pStyle w:val="ListNumber"/>
      </w:pPr>
      <w:r>
        <w:rPr>
          <w:b w:val="0"/>
        </w:rPr>
        <w:t>Je vérifie chaque information produite par l'IA (sources, chiffres, textes de loi).</w:t>
      </w:r>
    </w:p>
    <w:p>
      <w:pPr>
        <w:pStyle w:val="ListNumber"/>
      </w:pPr>
      <w:r>
        <w:rPr>
          <w:b w:val="0"/>
        </w:rPr>
        <w:t>Je garde la décision : l'IA propose, l'humain dispose.</w:t>
      </w:r>
    </w:p>
    <w:p>
      <w:pPr>
        <w:pStyle w:val="ListNumber"/>
      </w:pPr>
      <w:r>
        <w:rPr>
          <w:b w:val="0"/>
        </w:rPr>
        <w:t>Je signale clairement les contenus générés par IA diffusés à l'extérieur.</w:t>
      </w:r>
    </w:p>
    <w:p>
      <w:pPr>
        <w:pStyle w:val="ListNumber"/>
      </w:pPr>
      <w:r>
        <w:rPr>
          <w:b w:val="0"/>
        </w:rPr>
        <w:t>Stagiaires : j'indique dans mes dossiers d'examen les parties réalisées avec l'aide d'une IA ; le dossier reste mon travail personnel.</w:t>
      </w:r>
    </w:p>
    <w:p>
      <w:pPr>
        <w:pStyle w:val="ListNumber"/>
      </w:pPr>
      <w:r>
        <w:rPr>
          <w:b w:val="0"/>
        </w:rPr>
        <w:t>Je signale à la direction tout incident (fuite, résultat discriminatoire, erreur grave).</w:t>
      </w:r>
    </w:p>
    <w:p>
      <w:pPr>
        <w:pStyle w:val="Heading2"/>
      </w:pPr>
      <w:r>
        <w:t>4. Maîtrise de l'IA (article 4) — plan de formation interne</w:t>
      </w:r>
    </w:p>
    <w:tbl>
      <w:tblPr>
        <w:tblStyle w:val="TableGrid"/>
        <w:tblW w:type="auto" w:w="0"/>
        <w:jc w:val="center"/>
        <w:tblLayout w:type="fixed"/>
        <w:tblLook w:firstColumn="1" w:firstRow="1" w:lastColumn="0" w:lastRow="0" w:noHBand="0" w:noVBand="1" w:val="04A0"/>
      </w:tblPr>
      <w:tblGrid>
        <w:gridCol w:w="2551"/>
        <w:gridCol w:w="3969"/>
        <w:gridCol w:w="1134"/>
        <w:gridCol w:w="1984"/>
      </w:tblGrid>
      <w:tr>
        <w:trPr>
          <w:tblHeader w:val="true"/>
        </w:trPr>
        <w:tc>
          <w:tcPr>
            <w:tcW w:type="dxa" w:w="2551"/>
            <w:shd w:val="clear" w:color="auto" w:fill="1B3A6B"/>
          </w:tcPr>
          <w:p>
            <w:r/>
            <w:r>
              <w:rPr>
                <w:b/>
                <w:color w:val="FFFFFF"/>
                <w:sz w:val="22"/>
              </w:rPr>
              <w:t>Public</w:t>
            </w:r>
          </w:p>
        </w:tc>
        <w:tc>
          <w:tcPr>
            <w:tcW w:type="dxa" w:w="3969"/>
            <w:shd w:val="clear" w:color="auto" w:fill="1B3A6B"/>
          </w:tcPr>
          <w:p>
            <w:r/>
            <w:r>
              <w:rPr>
                <w:b/>
                <w:color w:val="FFFFFF"/>
                <w:sz w:val="22"/>
              </w:rPr>
              <w:t>Contenu</w:t>
            </w:r>
          </w:p>
        </w:tc>
        <w:tc>
          <w:tcPr>
            <w:tcW w:type="dxa" w:w="1134"/>
            <w:shd w:val="clear" w:color="auto" w:fill="1B3A6B"/>
          </w:tcPr>
          <w:p>
            <w:r/>
            <w:r>
              <w:rPr>
                <w:b/>
                <w:color w:val="FFFFFF"/>
                <w:sz w:val="22"/>
              </w:rPr>
              <w:t>Durée</w:t>
            </w:r>
          </w:p>
        </w:tc>
        <w:tc>
          <w:tcPr>
            <w:tcW w:type="dxa" w:w="1984"/>
            <w:shd w:val="clear" w:color="auto" w:fill="1B3A6B"/>
          </w:tcPr>
          <w:p>
            <w:r/>
            <w:r>
              <w:rPr>
                <w:b/>
                <w:color w:val="FFFFFF"/>
                <w:sz w:val="22"/>
              </w:rPr>
              <w:t>Preuve</w:t>
            </w:r>
          </w:p>
        </w:tc>
      </w:tr>
      <w:tr>
        <w:tc>
          <w:tcPr>
            <w:tcW w:type="dxa" w:w="2551"/>
          </w:tcPr>
          <w:p>
            <w:r/>
            <w:r>
              <w:rPr>
                <w:b w:val="0"/>
                <w:sz w:val="22"/>
              </w:rPr>
              <w:t>Direction et formateurs</w:t>
            </w:r>
          </w:p>
        </w:tc>
        <w:tc>
          <w:tcPr>
            <w:tcW w:type="dxa" w:w="3969"/>
          </w:tcPr>
          <w:p>
            <w:r/>
            <w:r>
              <w:rPr>
                <w:b w:val="0"/>
                <w:sz w:val="22"/>
              </w:rPr>
              <w:t>Fonctionnement, limites, biais, RGPD, IA Act, outils validés</w:t>
            </w:r>
          </w:p>
        </w:tc>
        <w:tc>
          <w:tcPr>
            <w:tcW w:type="dxa" w:w="1134"/>
          </w:tcPr>
          <w:p>
            <w:r/>
            <w:r>
              <w:rPr>
                <w:b w:val="0"/>
                <w:sz w:val="22"/>
              </w:rPr>
              <w:t>7 h / an</w:t>
            </w:r>
          </w:p>
        </w:tc>
        <w:tc>
          <w:tcPr>
            <w:tcW w:type="dxa" w:w="1984"/>
          </w:tcPr>
          <w:p>
            <w:r/>
            <w:r>
              <w:rPr>
                <w:b w:val="0"/>
                <w:sz w:val="22"/>
              </w:rPr>
              <w:t>Attestation, émargement</w:t>
            </w:r>
          </w:p>
        </w:tc>
      </w:tr>
      <w:tr>
        <w:tc>
          <w:tcPr>
            <w:tcW w:type="dxa" w:w="2551"/>
            <w:shd w:val="clear" w:color="auto" w:fill="F2F2F2"/>
          </w:tcPr>
          <w:p>
            <w:r/>
            <w:r>
              <w:rPr>
                <w:b w:val="0"/>
                <w:sz w:val="22"/>
              </w:rPr>
              <w:t>Stagiaires des titres MEM et RPMS</w:t>
            </w:r>
          </w:p>
        </w:tc>
        <w:tc>
          <w:tcPr>
            <w:tcW w:type="dxa" w:w="3969"/>
            <w:shd w:val="clear" w:color="auto" w:fill="F2F2F2"/>
          </w:tcPr>
          <w:p>
            <w:r/>
            <w:r>
              <w:rPr>
                <w:b w:val="0"/>
                <w:sz w:val="22"/>
              </w:rPr>
              <w:t>Module T1 du parcours</w:t>
            </w:r>
          </w:p>
        </w:tc>
        <w:tc>
          <w:tcPr>
            <w:tcW w:type="dxa" w:w="1134"/>
            <w:shd w:val="clear" w:color="auto" w:fill="F2F2F2"/>
          </w:tcPr>
          <w:p>
            <w:r/>
            <w:r>
              <w:rPr>
                <w:b w:val="0"/>
                <w:sz w:val="22"/>
              </w:rPr>
              <w:t>42 h</w:t>
            </w:r>
          </w:p>
        </w:tc>
        <w:tc>
          <w:tcPr>
            <w:tcW w:type="dxa" w:w="1984"/>
            <w:shd w:val="clear" w:color="auto" w:fill="F2F2F2"/>
          </w:tcPr>
          <w:p>
            <w:r/>
            <w:r>
              <w:rPr>
                <w:b w:val="0"/>
                <w:sz w:val="22"/>
              </w:rPr>
              <w:t>Émargements, évaluation</w:t>
            </w:r>
          </w:p>
        </w:tc>
      </w:tr>
      <w:tr>
        <w:tc>
          <w:tcPr>
            <w:tcW w:type="dxa" w:w="2551"/>
          </w:tcPr>
          <w:p>
            <w:r/>
            <w:r>
              <w:rPr>
                <w:b w:val="0"/>
                <w:sz w:val="22"/>
              </w:rPr>
              <w:t>Personnel administratif</w:t>
            </w:r>
          </w:p>
        </w:tc>
        <w:tc>
          <w:tcPr>
            <w:tcW w:type="dxa" w:w="3969"/>
          </w:tcPr>
          <w:p>
            <w:r/>
            <w:r>
              <w:rPr>
                <w:b w:val="0"/>
                <w:sz w:val="22"/>
              </w:rPr>
              <w:t>Règles d'or et cas pratiques</w:t>
            </w:r>
          </w:p>
        </w:tc>
        <w:tc>
          <w:tcPr>
            <w:tcW w:type="dxa" w:w="1134"/>
          </w:tcPr>
          <w:p>
            <w:r/>
            <w:r>
              <w:rPr>
                <w:b w:val="0"/>
                <w:sz w:val="22"/>
              </w:rPr>
              <w:t>3 h</w:t>
            </w:r>
          </w:p>
        </w:tc>
        <w:tc>
          <w:tcPr>
            <w:tcW w:type="dxa" w:w="1984"/>
          </w:tcPr>
          <w:p>
            <w:r/>
            <w:r>
              <w:rPr>
                <w:b w:val="0"/>
                <w:sz w:val="22"/>
              </w:rPr>
              <w:t>Attestation</w:t>
            </w:r>
          </w:p>
        </w:tc>
      </w:tr>
    </w:tbl>
    <w:p/>
    <w:p>
      <w:pPr>
        <w:pStyle w:val="Heading2"/>
      </w:pPr>
      <w:r>
        <w:t>5. Calendrier IA Act utile</w:t>
      </w:r>
    </w:p>
    <w:p>
      <w:pPr>
        <w:pStyle w:val="ListBullet"/>
      </w:pPr>
      <w:r>
        <w:rPr>
          <w:b w:val="0"/>
        </w:rPr>
        <w:t xml:space="preserve">2 février 2025 : pratiques interdites et obligation de maîtrise de l'IA — </w:t>
      </w:r>
      <w:r>
        <w:rPr>
          <w:b/>
        </w:rPr>
        <w:t>en vigueur</w:t>
      </w:r>
      <w:r>
        <w:rPr>
          <w:b w:val="0"/>
        </w:rPr>
        <w:t>.</w:t>
      </w:r>
    </w:p>
    <w:p>
      <w:pPr>
        <w:pStyle w:val="ListBullet"/>
      </w:pPr>
      <w:r>
        <w:rPr>
          <w:b w:val="0"/>
        </w:rPr>
        <w:t>2 août 2025 : obligations des fournisseurs de modèles d'IA à usage général.</w:t>
      </w:r>
    </w:p>
    <w:p>
      <w:pPr>
        <w:pStyle w:val="ListBullet"/>
      </w:pPr>
      <w:r>
        <w:rPr>
          <w:b w:val="0"/>
        </w:rPr>
        <w:t xml:space="preserve">2 août 2026 : obligations de transparence (art. 50) et, en principe, systèmes à haut risque de l'annexe III — </w:t>
      </w:r>
      <w:r>
        <w:rPr>
          <w:b w:val="0"/>
          <w:highlight w:val="yellow"/>
        </w:rPr>
        <w:t>[À VÉRIFIER : report envisagé par la proposition « omnibus numérique » de la Commission (novembre 2025) ; vérifier le texte adopté avant toute communication]</w:t>
      </w:r>
      <w:r>
        <w:rPr>
          <w:b w:val="0"/>
        </w:rPr>
        <w:t>.</w:t>
      </w:r>
    </w:p>
    <w:tbl>
      <w:tblPr>
        <w:tblStyle w:val="TableGrid"/>
        <w:tblW w:type="auto" w:w="0"/>
        <w:tblLook w:firstColumn="1" w:firstRow="1" w:lastColumn="0" w:lastRow="0" w:noHBand="0" w:noVBand="1" w:val="04A0"/>
      </w:tblPr>
      <w:tblGrid>
        <w:gridCol w:w="4819"/>
        <w:gridCol w:w="4819"/>
      </w:tblGrid>
      <w:tr>
        <w:tc>
          <w:tcPr>
            <w:tcW w:type="dxa" w:w="4819"/>
            <w:shd w:val="clear" w:color="auto" w:fill="F2F2F2"/>
          </w:tcPr>
          <w:p>
            <w:r>
              <w:rPr>
                <w:b/>
                <w:sz w:val="22"/>
              </w:rPr>
              <w:t>Le signataire (formateur / salarié / stagiaire)</w:t>
            </w:r>
          </w:p>
        </w:tc>
        <w:tc>
          <w:tcPr>
            <w:tcW w:type="dxa" w:w="4819"/>
            <w:shd w:val="clear" w:color="auto" w:fill="F2F2F2"/>
          </w:tcPr>
          <w:p>
            <w:r>
              <w:rPr>
                <w:b/>
                <w:sz w:val="22"/>
              </w:rPr>
              <w:t>Pour YEBA FORMATIONS</w:t>
            </w:r>
          </w:p>
        </w:tc>
      </w:tr>
      <w:tr>
        <w:tc>
          <w:tcPr>
            <w:tcW w:type="dxa" w:w="4819"/>
          </w:tcPr>
          <w:p>
            <w:r>
              <w:rPr>
                <w:b w:val="0"/>
                <w:sz w:val="22"/>
              </w:rPr>
              <w:t>Date :</w:t>
              <w:br/>
              <w:br/>
              <w:t>Signature :</w:t>
              <w:br/>
              <w:br/>
              <w:br/>
            </w:r>
          </w:p>
        </w:tc>
        <w:tc>
          <w:tcPr>
            <w:tcW w:type="dxa" w:w="4819"/>
          </w:tcPr>
          <w:p>
            <w:r>
              <w:rPr>
                <w:b w:val="0"/>
                <w:sz w:val="22"/>
              </w:rPr>
              <w:t>Date :</w:t>
              <w:br/>
              <w:br/>
              <w:t>Signature :</w:t>
              <w:br/>
              <w:br/>
              <w:br/>
            </w:r>
          </w:p>
        </w:tc>
      </w:tr>
    </w:tbl>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IA-03  —  YEBA FORMATIONS — SIRET 814 622 262 00032 — Version 2026-10 — Page </w:t>
    </w:r>
    <w:r>
      <w:rPr>
        <w:sz w:val="1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676510" cy="576000"/>
          <wp:docPr id="1" name="Picture 1"/>
          <wp:cNvGraphicFramePr>
            <a:graphicFrameLocks noChangeAspect="1"/>
          </wp:cNvGraphicFramePr>
          <a:graphic>
            <a:graphicData uri="http://schemas.openxmlformats.org/drawingml/2006/picture">
              <pic:pic>
                <pic:nvPicPr>
                  <pic:cNvPr id="0" name="logo_yeba_formations.png"/>
                  <pic:cNvPicPr/>
                </pic:nvPicPr>
                <pic:blipFill>
                  <a:blip r:embed="rId1"/>
                  <a:stretch>
                    <a:fillRect/>
                  </a:stretch>
                </pic:blipFill>
                <pic:spPr>
                  <a:xfrm>
                    <a:off x="0" y="0"/>
                    <a:ext cx="676510" cy="576000"/>
                  </a:xfrm>
                  <a:prstGeom prst="rect"/>
                </pic:spPr>
              </pic:pic>
            </a:graphicData>
          </a:graphic>
        </wp:inline>
      </w:drawing>
    </w:r>
    <w:r>
      <w:rPr>
        <w:color w:val="1B3A6B"/>
        <w:sz w:val="18"/>
      </w:rPr>
      <w:t xml:space="preserve">    YEBA FORMATIONS  |  NDA 04973676397  |  Qualiopi 25FOR02027.1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A6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3A6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C9A94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Charte d'usage de l'intelligence artificielle</dc:title>
  <dc:subject/>
  <dc:creator>YEBA FORMATIONS</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