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Registre des activités de traitement</w:t>
      </w:r>
    </w:p>
    <w:p>
      <w:r>
        <w:rPr>
          <w:b/>
          <w:color w:val="C9A94D"/>
          <w:sz w:val="28"/>
        </w:rPr>
        <w:t>Article 30 du RGPD — responsable de traitement : YEBA FORMATIONS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 xml:space="preserve">Responsable de traitement : YEBA FORMATIONS, SIRET 814 622 262 00032, représenté par Aurélien LUMEKA. Contact : </w:t>
      </w:r>
      <w:r>
        <w:rPr>
          <w:b w:val="0"/>
          <w:highlight w:val="yellow"/>
        </w:rPr>
        <w:t>[À COMPLÉTER : adresse e-mail dédiée RGPD, ex. rgpd@…]</w:t>
      </w:r>
      <w:r>
        <w:rPr>
          <w:b w:val="0"/>
        </w:rPr>
        <w:t xml:space="preserve">. Délégué à la protection des données : non obligatoire à ce stade (pas de traitement à grande échelle de données sensibles) — </w:t>
      </w:r>
      <w:r>
        <w:rPr>
          <w:b w:val="0"/>
          <w:highlight w:val="yellow"/>
        </w:rPr>
        <w:t>[À VÉRIFIER si la taille de l'activité évolue]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2551"/>
        <w:gridCol w:w="2268"/>
        <w:gridCol w:w="2835"/>
        <w:gridCol w:w="2835"/>
      </w:tblGrid>
      <w:tr>
        <w:trPr>
          <w:tblHeader w:val="true"/>
        </w:trPr>
        <w:tc>
          <w:tcPr>
            <w:tcW w:type="dxa" w:w="238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Traitement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Personnes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Données</w:t>
            </w:r>
          </w:p>
        </w:tc>
        <w:tc>
          <w:tcPr>
            <w:tcW w:type="dxa" w:w="226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Base légale</w:t>
            </w:r>
          </w:p>
        </w:tc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Destinataires</w:t>
            </w:r>
          </w:p>
        </w:tc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Conservation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Gestion des candidatures et admissions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Candidats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Identité, contact, situation, CV, résultats du positionnement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Mesures précontractuelles (6.1.b)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Équipe pédagogique, prescripteur (si accord)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2 ans après le dernier contact si non retenu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Gestion administrative et pédagogique des stagiaires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Stagiaires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Identité, contact, présence, évaluations, dossier professionnel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Contrat (6.1.b) ; obligation légale (6.1.c)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Formateurs, financeurs, DEETS, jury, plateformes publiques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 xml:space="preserve">Durée de la formation + 5 ans </w:t>
            </w:r>
            <w:r>
              <w:rPr>
                <w:b w:val="0"/>
                <w:sz w:val="22"/>
                <w:highlight w:val="yellow"/>
              </w:rPr>
              <w:t>[À VÉRIFIER : durée exigée par chaque financeur]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Déclarations aux financeurs (EDOF, KAIROS, Région, OPCO)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Stagiaires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Identité, identifiants financeur, présence, résultats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Obligation légale / contrat (6.1.c, 6.1.b)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Caisse des Dépôts, France Travail, Région, OPCO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Durée exigée par le financeur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Accompagnement du handicap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Stagiaires concernés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Besoins d'aménagement (donnée de santé)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Consentement explicite (9.2.a)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Référent handicap seul ; Agefiph / Cap emploi avec accord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Fin du parcours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Rémunération des stagiaires (si dossier Région / ASP)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Stagiaires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Identité, NIR, RIB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Obligation légale / mission du financeur (6.1.c / 6.1.e)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Financeur, ASP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Durée exigée par le financeur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Suivi de l'insertion et indicateurs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Anciens stagiaires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Situation professionnelle à 6 mois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Obligation légale (indicateurs publics) / intérêt légitime (6.1.f)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Interne ; résultats agrégés publiés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2 ans (réponses individuelles)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Prospection commerciale B2B et B2C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Prospects, entreprises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Identité, fonction, contact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Intérêt légitime (B2B) / consentement (B2C e-mail)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Interne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3 ans après le dernier contact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Gestion des formateurs et sous-traitants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Formateurs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Identité, CV, diplômes, contrat, facturation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Contrat (6.1.b)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Interne, Qualiopi, DEETS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Durée de la relation + 5 ans ; pièces comptables 10 ans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Comptabilité et facturation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Clients, financeurs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Identité, facturation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Obligation légale (6.1.c)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Expert-comptable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10 ans (art. L.123-22 code de commerce)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Enquêtes de satisfaction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Stagiaires, entreprises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Réponses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Intérêt légitime / obligation Qualiopi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Interne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2 ans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Image et témoignages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Stagiaires volontaires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Photo, vidéo, témoignage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Consentement (6.1.a)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Public (site, réseaux)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2 ans ou jusqu'au retrait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Usage d'outils d'IA (rédaction, préparation de supports)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Aucune donnée personnelle saisie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Contenus pédagogiques non personnels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Fournisseur de l'outil (hébergement UE)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—</w:t>
            </w:r>
          </w:p>
        </w:tc>
      </w:tr>
    </w:tbl>
    <w:p/>
    <w:p>
      <w:pPr>
        <w:pStyle w:val="Heading2"/>
      </w:pPr>
      <w:r>
        <w:t>Sous-traitants (art. 28) — à tenir à jour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4536"/>
        <w:gridCol w:w="3231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Prestataire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45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Localisation des données</w:t>
            </w:r>
          </w:p>
        </w:tc>
        <w:tc>
          <w:tcPr>
            <w:tcW w:type="dxa" w:w="323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Contrat art. 28 signé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Baserow B.V.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Base de données (prospects, sessions)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Union européenne (Pays-Bas)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  <w:highlight w:val="yellow"/>
              </w:rPr>
              <w:t>[À COMPLÉTER : messagerie]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E-mail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b w:val="0"/>
                <w:sz w:val="22"/>
                <w:highlight w:val="yellow"/>
              </w:rPr>
              <w:t>[À VÉRIFIER : UE]</w:t>
            </w:r>
          </w:p>
        </w:tc>
        <w:tc>
          <w:tcPr>
            <w:tcW w:type="dxa" w:w="3231"/>
            <w:shd w:val="clear" w:color="auto" w:fill="F2F2F2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  <w:highlight w:val="yellow"/>
              </w:rPr>
              <w:t>[À COMPLÉTER : stockage de fichiers]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Stockage des dossiers stagiaires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  <w:highlight w:val="yellow"/>
              </w:rPr>
              <w:t>[À VÉRIFIER : UE]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  <w:highlight w:val="yellow"/>
              </w:rPr>
              <w:t>[À COMPLÉTER : signature / émargement électronique]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Émargement, signatures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b w:val="0"/>
                <w:sz w:val="22"/>
                <w:highlight w:val="yellow"/>
              </w:rPr>
              <w:t>[À VÉRIFIER : UE]</w:t>
            </w:r>
          </w:p>
        </w:tc>
        <w:tc>
          <w:tcPr>
            <w:tcW w:type="dxa" w:w="3231"/>
            <w:shd w:val="clear" w:color="auto" w:fill="F2F2F2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  <w:highlight w:val="yellow"/>
              </w:rPr>
              <w:t>[À COMPLÉTER : outil d'IA validé]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Aide à la rédaction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  <w:highlight w:val="yellow"/>
              </w:rPr>
              <w:t>[À VÉRIFIER : UE, pas de réutilisation des données pour l'entraînement]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</w:tbl>
    <w:p/>
    <w:p>
      <w:pPr>
        <w:pStyle w:val="Heading2"/>
      </w:pPr>
      <w:r>
        <w:t>Mesures de sécurité (art. 32)</w:t>
      </w:r>
    </w:p>
    <w:p>
      <w:pPr>
        <w:pStyle w:val="ListBullet"/>
      </w:pPr>
      <w:r>
        <w:rPr>
          <w:b w:val="0"/>
        </w:rPr>
        <w:t>Comptes nominatifs et authentification à deux facteurs</w:t>
      </w:r>
    </w:p>
    <w:p>
      <w:pPr>
        <w:pStyle w:val="ListBullet"/>
      </w:pPr>
      <w:r>
        <w:rPr>
          <w:b w:val="0"/>
        </w:rPr>
        <w:t>Dossiers stagiaires dans un espace chiffré à accès restreint ; dossier handicap séparé</w:t>
      </w:r>
    </w:p>
    <w:p>
      <w:pPr>
        <w:pStyle w:val="ListBullet"/>
      </w:pPr>
      <w:r>
        <w:rPr>
          <w:b w:val="0"/>
        </w:rPr>
        <w:t>Sauvegardes chiffrées hebdomadaires</w:t>
      </w:r>
    </w:p>
    <w:p>
      <w:pPr>
        <w:pStyle w:val="ListBullet"/>
      </w:pPr>
      <w:r>
        <w:rPr>
          <w:b w:val="0"/>
        </w:rPr>
        <w:t>Envoi aux financeurs par plateformes officielles ou liens sécurisés, jamais de pièce d'identité en clair par e-mail</w:t>
      </w:r>
    </w:p>
    <w:p>
      <w:pPr>
        <w:pStyle w:val="ListBullet"/>
      </w:pPr>
      <w:r>
        <w:rPr>
          <w:b w:val="0"/>
        </w:rPr>
        <w:t>Mises à jour et antivirus ; sensibilisation annuelle (SecNumacadémie de l'ANSSI)</w:t>
      </w:r>
    </w:p>
    <w:p>
      <w:pPr>
        <w:pStyle w:val="ListBullet"/>
      </w:pPr>
      <w:r>
        <w:rPr>
          <w:b w:val="0"/>
        </w:rPr>
        <w:t>Procédure de violation de données (notification CNIL sous 72 h)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RGPD-01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des activités de traitement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