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drawing>
          <wp:inline xmlns:a="http://schemas.openxmlformats.org/drawingml/2006/main" xmlns:pic="http://schemas.openxmlformats.org/drawingml/2006/picture">
            <wp:extent cx="3805369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yeba_form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536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/>
        <w:jc w:val="center"/>
      </w:pPr>
      <w:r>
        <w:rPr>
          <w:b/>
          <w:color w:val="1B3A6B"/>
          <w:sz w:val="52"/>
        </w:rPr>
        <w:t>Note de synthèse</w:t>
      </w:r>
    </w:p>
    <w:p>
      <w:pPr>
        <w:jc w:val="center"/>
      </w:pPr>
      <w:r>
        <w:rPr>
          <w:b/>
          <w:color w:val="1B3A6B"/>
          <w:sz w:val="32"/>
        </w:rPr>
        <w:t>Votre année de formation continue avec les titres MEM et RPMS — version 3</w:t>
      </w:r>
    </w:p>
    <w:p>
      <w:pPr>
        <w:pBdr>
          <w:bottom w:val="single" w:sz="18" w:space="1" w:color="C9A84C"/>
        </w:pBdr>
      </w:pPr>
    </w:p>
    <w:p>
      <w:pPr>
        <w:jc w:val="center"/>
      </w:pPr>
      <w:r>
        <w:rPr>
          <w:b w:val="0"/>
          <w:color w:val="1B3A6B"/>
          <w:sz w:val="24"/>
        </w:rPr>
        <w:t>Secrétariat Center — 7 rue Henri Cornu — 97490 Saint-Denis</w:t>
      </w:r>
    </w:p>
    <w:p>
      <w:pPr>
        <w:jc w:val="center"/>
      </w:pPr>
      <w:r>
        <w:rPr>
          <w:b w:val="0"/>
          <w:color w:val="1B3A6B"/>
          <w:sz w:val="24"/>
        </w:rPr>
        <w:t>SIRET 814 622 262 00032  •  NDA 04973676397  •  Qualiopi 25FOR02027.1</w:t>
      </w:r>
    </w:p>
    <w:p>
      <w:r>
        <w:br w:type="page"/>
      </w:r>
    </w:p>
    <w:p>
      <w:pPr>
        <w:pStyle w:val="Heading1"/>
      </w:pPr>
      <w:r>
        <w:t>1. Les décisions à retenir</w:t>
      </w:r>
    </w:p>
    <w:p>
      <w:pPr>
        <w:ind w:left="454" w:hanging="454"/>
      </w:pPr>
      <w:r>
        <w:rPr>
          <w:b/>
          <w:color w:val="1B3A6B"/>
        </w:rPr>
        <w:t xml:space="preserve">1.  </w:t>
      </w:r>
      <w:r>
        <w:rPr>
          <w:b/>
        </w:rPr>
        <w:t>DEETS</w:t>
      </w:r>
      <w:r>
        <w:rPr>
          <w:b w:val="0"/>
        </w:rPr>
        <w:t xml:space="preserve"> : envoyer la version A </w:t>
      </w:r>
      <w:r>
        <w:rPr>
          <w:b/>
        </w:rPr>
        <w:t>au plus tard le vendredi 30 octobre 2026</w:t>
      </w:r>
      <w:r>
        <w:rPr>
          <w:b w:val="0"/>
        </w:rPr>
        <w:t xml:space="preserve"> (courriel du 20 octobre ; le 12e jour tombe le dimanche 1er novembre).</w:t>
      </w:r>
    </w:p>
    <w:p>
      <w:pPr>
        <w:ind w:left="454" w:hanging="454"/>
      </w:pPr>
      <w:r>
        <w:rPr>
          <w:b/>
          <w:color w:val="1B3A6B"/>
        </w:rPr>
        <w:t xml:space="preserve">2.  </w:t>
      </w:r>
      <w:r>
        <w:rPr>
          <w:b/>
        </w:rPr>
        <w:t>MEM — promotion 1</w:t>
      </w:r>
      <w:r>
        <w:rPr>
          <w:b w:val="0"/>
        </w:rPr>
        <w:t xml:space="preserve"> : du lundi 1 mars 2027 au jeudi 19 août 2027 ; examen la semaine du 23/08/2027.</w:t>
      </w:r>
    </w:p>
    <w:p>
      <w:pPr>
        <w:ind w:left="454" w:hanging="454"/>
      </w:pPr>
      <w:r>
        <w:rPr>
          <w:b/>
          <w:color w:val="1B3A6B"/>
        </w:rPr>
        <w:t xml:space="preserve">3.  </w:t>
      </w:r>
      <w:r>
        <w:rPr>
          <w:b/>
        </w:rPr>
        <w:t>RPMS — promotion 1</w:t>
      </w:r>
      <w:r>
        <w:rPr>
          <w:b w:val="0"/>
        </w:rPr>
        <w:t xml:space="preserve"> : du lundi 6 septembre 2027 au mardi 29 février 2028 ; examen la semaine du 06/03/2028.</w:t>
      </w:r>
    </w:p>
    <w:p>
      <w:pPr>
        <w:ind w:left="454" w:hanging="454"/>
      </w:pPr>
      <w:r>
        <w:rPr>
          <w:b/>
          <w:color w:val="1B3A6B"/>
        </w:rPr>
        <w:t xml:space="preserve">4.  </w:t>
      </w:r>
      <w:r>
        <w:rPr>
          <w:b/>
        </w:rPr>
        <w:t>Examen</w:t>
      </w:r>
      <w:r>
        <w:rPr>
          <w:b w:val="0"/>
        </w:rPr>
        <w:t xml:space="preserve"> : centre agréé partenaire pour la 1re session MEM, puis agrément propre.</w:t>
      </w:r>
    </w:p>
    <w:p>
      <w:pPr>
        <w:ind w:left="454" w:hanging="454"/>
      </w:pPr>
      <w:r>
        <w:rPr>
          <w:b/>
          <w:color w:val="1B3A6B"/>
        </w:rPr>
        <w:t xml:space="preserve">5.  </w:t>
      </w:r>
      <w:r>
        <w:rPr>
          <w:b/>
        </w:rPr>
        <w:t>Trois urgences avant d'encaisser</w:t>
      </w:r>
      <w:r>
        <w:rPr>
          <w:b w:val="0"/>
        </w:rPr>
        <w:t xml:space="preserve"> : désigner un médiateur de la consommation ; régler la question de la TVA avec l'expert-comptable ; faire confirmer par le courtier la couverture des activités liées à l'IA.</w:t>
      </w:r>
    </w:p>
    <w:p>
      <w:pPr>
        <w:pStyle w:val="Heading1"/>
      </w:pPr>
      <w:r>
        <w:t>2. Ce que révèlent le certificat Qualiopi et votre base Airtable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70"/>
      </w:tblGrid>
      <w:tr>
        <w:trPr>
          <w:tblHeader w:val="true"/>
        </w:trPr>
        <w:tc>
          <w:tcPr>
            <w:tcW w:type="dxa" w:w="39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Constat</w:t>
            </w:r>
          </w:p>
        </w:tc>
        <w:tc>
          <w:tcPr>
            <w:tcW w:type="dxa" w:w="5669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Conséquence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Le certificat 25FOR02027.1 couvre les 4 catégories, dont l'apprentissage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L'extension Qualiopi n'est pas nécessaire si vous ouvrez un jour l'apprentissage ; les courriels à la DEETS sont mis à jour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Validité du 17/02/2026 au 16/02/2029 (Airtable indique 2027)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Audit de surveillance entre le 17/04/2027 et le 17/12/2027 : il tombera pendant la promotion MEM, préparez les preuves dès mars 2027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Site certifié : le siège, 9 rue Françoise Châtelain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Le Secrétariat Center est une salle louée : fiche site tiers YEBA-DOC-15 à remplir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Charte graphique YEBA-IDENT-2026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Appliquée : texte bleu ou noir, or réservé aux filets, interligne 1,3, bloc-marque et mention de transparence IA sur chaque document</w:t>
            </w:r>
          </w:p>
        </w:tc>
      </w:tr>
      <w:tr>
        <w:trPr>
          <w:cantSplit w:val="true"/>
        </w:trPr>
        <w:tc>
          <w:tcPr>
            <w:tcW w:type="dxa" w:w="3969"/>
          </w:tcPr>
          <w:p>
            <w:r/>
            <w:r>
              <w:rPr>
                <w:b w:val="0"/>
                <w:sz w:val="22"/>
              </w:rPr>
              <w:t>Documents officiels déjà en vigueur (règlement intérieur, CGV, politiques)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2"/>
              </w:rPr>
              <w:t>Les documents du dossier les complètent sans les dupliquer (avenant RI-06, conditions particulières CP-05…)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E8EEF7"/>
          </w:tcPr>
          <w:p>
            <w:r/>
            <w:r>
              <w:rPr>
                <w:b w:val="0"/>
                <w:sz w:val="22"/>
              </w:rPr>
              <w:t>Plusieurs incohérences dans les documents officiels</w:t>
            </w:r>
          </w:p>
        </w:tc>
        <w:tc>
          <w:tcPr>
            <w:tcW w:type="dxa" w:w="5669"/>
            <w:shd w:val="clear" w:color="auto" w:fill="E8EEF7"/>
          </w:tcPr>
          <w:p>
            <w:r/>
            <w:r>
              <w:rPr>
                <w:b w:val="0"/>
                <w:sz w:val="22"/>
              </w:rPr>
              <w:t>Liste et corrections proposées dans SOC-04</w:t>
            </w:r>
          </w:p>
        </w:tc>
      </w:tr>
    </w:tbl>
    <w:p/>
    <w:p>
      <w:pPr>
        <w:pStyle w:val="Heading1"/>
      </w:pPr>
      <w:r>
        <w:t>3. Le point fiscal à ne pas manquer</w:t>
      </w:r>
    </w:p>
    <w:p>
      <w:r>
        <w:rPr>
          <w:b w:val="0"/>
        </w:rPr>
        <w:t xml:space="preserve">YEBA FORMATIONS est en franchise en base de TVA (article 293 B du CGI). Une seule promotion de titre professionnel peut faire dépasser le seuil de franchise sur l'année. En cas de dépassement, la formation ne reste sans TVA qu'avec l'attestation 3511-SD (exonération de la formation professionnelle continue) ; le conseil serait soumis à la TVA à 8,5 %. Votre base Airtable recommande déjà de demander cette attestation : faites-le avant les premières recettes des parcours. </w:t>
      </w:r>
      <w:r>
        <w:rPr>
          <w:b/>
          <w:i/>
          <w:color w:val="1B3A6B"/>
          <w:u w:val="single"/>
        </w:rPr>
        <w:t>[À VÉRIFIER avec l'expert-comptable : seuil applicable à La Réunion.]</w:t>
      </w:r>
    </w:p>
    <w:p>
      <w:pPr>
        <w:pStyle w:val="Heading1"/>
      </w:pPr>
      <w:r>
        <w:t>4. Ce qui a changé dans cette version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blHeader w:val="true"/>
        </w:trPr>
        <w:tc>
          <w:tcPr>
            <w:tcW w:type="dxa" w:w="226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Sujet</w:t>
            </w:r>
          </w:p>
        </w:tc>
        <w:tc>
          <w:tcPr>
            <w:tcW w:type="dxa" w:w="7370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Changement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Coordonnées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9 rue Françoise Châtelain, 97490 Sainte-Clotilde, La Réunion — 0693 32 24 45 — yebaformations@gmail.com — mention entrepreneur individuel (EI)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Locaux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Secrétariat Center : entrée accessible aux personnes à mobilité réduite, sanitaires, salle de pause, vidéoprojecteur et tableau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Qualiopi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4 catégories, validité 2029, audit de surveillance planifié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Assurance et TVA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Données Hiscox et mention « TVA non applicable — article 293 B du CGI » reportées partout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Alerte cyclonique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Règle alignée sur le règlement intérieur YEBA-DOC-04 : alerte orange = suspension immédiate et report sans frais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8EEF7"/>
          </w:tcPr>
          <w:p>
            <w:r/>
            <w:r>
              <w:rPr>
                <w:b w:val="0"/>
                <w:sz w:val="22"/>
              </w:rPr>
              <w:t>Documents stagiaires</w:t>
            </w:r>
          </w:p>
        </w:tc>
        <w:tc>
          <w:tcPr>
            <w:tcW w:type="dxa" w:w="7370"/>
            <w:shd w:val="clear" w:color="auto" w:fill="E8EEF7"/>
          </w:tcPr>
          <w:p>
            <w:r/>
            <w:r>
              <w:rPr>
                <w:b w:val="0"/>
                <w:sz w:val="22"/>
              </w:rPr>
              <w:t>Convention et contrat propres aux parcours, conditions particulières CP-05, avenant au règlement intérieur, aménagements d'examen ; les doublons des documents officiels sont retirés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r/>
            <w:r>
              <w:rPr>
                <w:b w:val="0"/>
                <w:sz w:val="22"/>
              </w:rPr>
              <w:t>Nouveau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2"/>
              </w:rPr>
              <w:t>SOC-04 : articulation avec le socle officiel et écarts à corriger</w:t>
            </w:r>
          </w:p>
        </w:tc>
      </w:tr>
    </w:tbl>
    <w:p/>
    <w:p>
      <w:pPr>
        <w:pStyle w:val="Heading1"/>
      </w:pPr>
      <w:r>
        <w:t>5. Budget de salle</w:t>
      </w:r>
    </w:p>
    <w:p>
      <w:r>
        <w:rPr>
          <w:b w:val="0"/>
        </w:rPr>
        <w:t>Secrétariat Center : MEM 8 000 € ; RPMS 8 500 € (hors informations collectives  jury blanc et examen). Durées : MEM 80 jours (560 h), RPMS 85 jours (595 h). Le classeur PIL-03 calcule le seuil de rentabilité et la trésorerie dès que vous saisissez votre prix et vos effectifs.</w:t>
      </w:r>
    </w:p>
    <w:p>
      <w:pPr>
        <w:pStyle w:val="Heading1"/>
      </w:pPr>
      <w:r>
        <w:t>6. Autocritique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4252"/>
      </w:tblGrid>
      <w:tr>
        <w:trPr>
          <w:tblHeader w:val="true"/>
        </w:trPr>
        <w:tc>
          <w:tcPr>
            <w:tcW w:type="dxa" w:w="170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Angle</w:t>
            </w:r>
          </w:p>
        </w:tc>
        <w:tc>
          <w:tcPr>
            <w:tcW w:type="dxa" w:w="368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Faille</w:t>
            </w:r>
          </w:p>
        </w:tc>
        <w:tc>
          <w:tcPr>
            <w:tcW w:type="dxa" w:w="4252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Correction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Juridique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RPMS bâti sans le REAC et le référentiel d'évaluation v08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Signalé dans chaque document RPMS ; à confronter dès réception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Juridique</w:t>
            </w:r>
          </w:p>
        </w:tc>
        <w:tc>
          <w:tcPr>
            <w:tcW w:type="dxa" w:w="3685"/>
            <w:shd w:val="clear" w:color="auto" w:fill="E8EEF7"/>
          </w:tcPr>
          <w:p>
            <w:r/>
            <w:r>
              <w:rPr>
                <w:b w:val="0"/>
                <w:sz w:val="22"/>
              </w:rPr>
              <w:t>Documents officiels encore incomplets (CGV, convention, réclamations)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Écarts listés dans SOC-04 ; aucun contrat particulier sans médiateur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Économique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Risque de sortie de franchise de TVA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Action datée dans le plan PIL-01 ; avertissement dans le budget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Faisabilité</w:t>
            </w:r>
          </w:p>
        </w:tc>
        <w:tc>
          <w:tcPr>
            <w:tcW w:type="dxa" w:w="3685"/>
            <w:shd w:val="clear" w:color="auto" w:fill="E8EEF7"/>
          </w:tcPr>
          <w:p>
            <w:r/>
            <w:r>
              <w:rPr>
                <w:b w:val="0"/>
                <w:sz w:val="22"/>
              </w:rPr>
              <w:t>Audit Qualiopi pendant la 1re promotion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Préparation dès mars 2027 avec la matrice QUA-02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Souveraineté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Airtable et Gmail hébergés hors UE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Migration déjà décidée (Baserow chez OVHcloud, Brevo) ; numéro de sécurité sociale et RIB hors Airtable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Identité</w:t>
            </w:r>
          </w:p>
        </w:tc>
        <w:tc>
          <w:tcPr>
            <w:tcW w:type="dxa" w:w="3685"/>
            <w:shd w:val="clear" w:color="auto" w:fill="E8EEF7"/>
          </w:tcPr>
          <w:p>
            <w:r/>
            <w:r>
              <w:rPr>
                <w:b w:val="0"/>
                <w:sz w:val="22"/>
              </w:rPr>
              <w:t>Deux logos possibles (PNG transmis, SVG de la charte)</w:t>
            </w:r>
          </w:p>
        </w:tc>
        <w:tc>
          <w:tcPr>
            <w:tcW w:type="dxa" w:w="4252"/>
            <w:shd w:val="clear" w:color="auto" w:fill="E8EEF7"/>
          </w:tcPr>
          <w:p>
            <w:r/>
            <w:r>
              <w:rPr>
                <w:b w:val="0"/>
                <w:sz w:val="22"/>
              </w:rPr>
              <w:t>PNG utilisé ; à confirmer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r/>
            <w:r>
              <w:rPr>
                <w:b w:val="0"/>
                <w:sz w:val="22"/>
              </w:rPr>
              <w:t>Sécurité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2"/>
              </w:rPr>
              <w:t>Dossiers remplis contenant des données personnelles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2"/>
              </w:rPr>
              <w:t>Jamais dans Git ; espace chiffré hébergé dans l'UE</w:t>
            </w:r>
          </w:p>
        </w:tc>
      </w:tr>
    </w:tbl>
    <w:p/>
    <w:p>
      <w:pPr>
        <w:pStyle w:val="Heading1"/>
      </w:pPr>
      <w:r>
        <w:t>7. Ce qu'il me manque encore</w:t>
      </w:r>
    </w:p>
    <w:p>
      <w:pPr>
        <w:ind w:left="454" w:hanging="454"/>
      </w:pPr>
      <w:r>
        <w:rPr>
          <w:b/>
          <w:color w:val="1B3A6B"/>
        </w:rPr>
        <w:t xml:space="preserve">1.  </w:t>
      </w:r>
      <w:r>
        <w:rPr>
          <w:b w:val="0"/>
        </w:rPr>
        <w:t>Le REAC et le référentiel d'évaluation RPMS millésime 08 (2023).</w:t>
      </w:r>
    </w:p>
    <w:p>
      <w:pPr>
        <w:ind w:left="454" w:hanging="454"/>
      </w:pPr>
      <w:r>
        <w:rPr>
          <w:b/>
          <w:color w:val="1B3A6B"/>
        </w:rPr>
        <w:t xml:space="preserve">2.  </w:t>
      </w:r>
      <w:r>
        <w:rPr>
          <w:b w:val="0"/>
        </w:rPr>
        <w:t>Le prix de vente par titre et par CCP, et l'effectif cible par promotion.</w:t>
      </w:r>
    </w:p>
    <w:p>
      <w:pPr>
        <w:ind w:left="454" w:hanging="454"/>
      </w:pPr>
      <w:r>
        <w:rPr>
          <w:b/>
          <w:color w:val="1B3A6B"/>
        </w:rPr>
        <w:t xml:space="preserve">3.  </w:t>
      </w:r>
      <w:r>
        <w:rPr>
          <w:b w:val="0"/>
        </w:rPr>
        <w:t>Le logo officiel : le PNG transmis ou le fichier « logo-yeba-sans-oeil.svg » de votre charte ?</w:t>
      </w:r>
    </w:p>
    <w:p>
      <w:pPr>
        <w:ind w:left="454" w:hanging="454"/>
      </w:pPr>
      <w:r>
        <w:rPr>
          <w:b/>
          <w:color w:val="1B3A6B"/>
        </w:rPr>
        <w:t xml:space="preserve">4.  </w:t>
      </w:r>
      <w:r>
        <w:rPr>
          <w:b w:val="0"/>
        </w:rPr>
        <w:t>Les accès au Secrétariat Center (lignes de bus, stationnement).</w:t>
      </w:r>
    </w:p>
    <w:p>
      <w:pPr>
        <w:ind w:left="454" w:hanging="454"/>
      </w:pPr>
      <w:r>
        <w:rPr>
          <w:b/>
          <w:color w:val="1B3A6B"/>
        </w:rPr>
        <w:t xml:space="preserve">5.  </w:t>
      </w:r>
      <w:r>
        <w:rPr>
          <w:b w:val="0"/>
        </w:rPr>
        <w:t>Les livrets réalisés pour un autre organisme, quand vous voudrez (sans mêler les deux marques).</w:t>
      </w:r>
    </w:p>
    <w:p>
      <w:pPr>
        <w:pStyle w:val="Heading1"/>
      </w:pPr>
      <w:r>
        <w:t>8. Sources</w:t>
      </w:r>
    </w:p>
    <w:p>
      <w:pPr>
        <w:pStyle w:val="ListBullet"/>
      </w:pPr>
      <w:r>
        <w:rPr>
          <w:b w:val="0"/>
        </w:rPr>
        <w:t>Certificat Qualiopi n° 25FOR02027.1, Qualitia, émis le 17/02/2026 (document transmis).</w:t>
      </w:r>
    </w:p>
    <w:p>
      <w:pPr>
        <w:pStyle w:val="ListBullet"/>
      </w:pPr>
      <w:r>
        <w:rPr>
          <w:b w:val="0"/>
        </w:rPr>
        <w:t>Base Airtable « YEBA FORMATIONS — Centre de formation (Adaptable) » : tables CONFIG SYSTÈME, DOCUMENTS OFFICIELS YEBA, FORMATEURS &amp; PRESTATAIRES, consultées le 22/10/2026.</w:t>
      </w:r>
    </w:p>
    <w:p>
      <w:pPr>
        <w:pStyle w:val="ListBullet"/>
      </w:pPr>
      <w:r>
        <w:rPr>
          <w:b w:val="0"/>
        </w:rPr>
        <w:t>REAC et référentiel d'évaluation Manager d'établissement marchand, millésime 09 du 10/12/2025 (documents transmis).</w:t>
      </w:r>
    </w:p>
    <w:p>
      <w:pPr>
        <w:pStyle w:val="ListBullet"/>
      </w:pPr>
      <w:r>
        <w:rPr>
          <w:b w:val="0"/>
        </w:rPr>
        <w:t>Fiches France Compétences RNCP41853 et RNCP38575 (documents transmis).</w:t>
      </w:r>
    </w:p>
    <w:p>
      <w:pPr>
        <w:pStyle w:val="ListBullet"/>
      </w:pPr>
      <w:r>
        <w:rPr>
          <w:b w:val="0"/>
        </w:rPr>
        <w:t>REAC et RC RPMS RNCP35646, millésime 07 de 2016 (documents transmis, version remplacée).</w:t>
      </w:r>
    </w:p>
    <w:p>
      <w:pPr>
        <w:pStyle w:val="ListBullet"/>
      </w:pPr>
      <w:r>
        <w:rPr>
          <w:b w:val="0"/>
        </w:rPr>
        <w:t>Code du travail ; code général des impôts, art. 293 B et 261-4-4° a ; RGPD ; règlement (UE) 2024/1689.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RGPD : chaque modèle informe les personnes et limite les données ; le complément RGPD-01 est à reporter dans le registre YEBA-DOC-16.</w:t>
            </w:r>
          </w:p>
          <w:p>
            <w:r>
              <w:rPr>
                <w:b w:val="0"/>
                <w:sz w:val="22"/>
              </w:rPr>
              <w:t>IA Act : aucun système d'IA n'évalue, ne note, ne classe ni ne sélectionne les stagiaires ; maîtrise de l'IA assurée par la charte YEBA-DOC-11.</w:t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NOTE-00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de synthèse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