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Aménagements de parcours et d'examen</w:t>
      </w:r>
    </w:p>
    <w:p>
      <w:r>
        <w:rPr>
          <w:b/>
          <w:color w:val="1B3A6B"/>
          <w:sz w:val="28"/>
        </w:rPr>
        <w:t>Complément à la politique handicap YEBA-DOC-08 pour les titres professionnels</w:t>
      </w:r>
    </w:p>
    <w:p>
      <w:pPr>
        <w:pBdr>
          <w:bottom w:val="single" w:sz="18" w:space="1" w:color="C9A84C"/>
        </w:pBdr>
      </w:pPr>
    </w:p>
    <w:p>
      <w:r>
        <w:rPr>
          <w:b w:val="0"/>
        </w:rPr>
        <w:t>La politique YEBA-DOC-08 s'applique (entretien sous 48 heures ouvrées, fiche d'adaptation sous 5 jours ouvrés, relais Agefiph, RHF, Cap emploi). Ce document précise ce qui est propre aux titres professionnels.</w:t>
      </w:r>
    </w:p>
    <w:p>
      <w:pPr>
        <w:ind w:left="454" w:hanging="454"/>
      </w:pPr>
      <w:r>
        <w:rPr>
          <w:b/>
          <w:color w:val="1B3A6B"/>
        </w:rPr>
        <w:t xml:space="preserve">1.  </w:t>
      </w:r>
      <w:r>
        <w:rPr>
          <w:b w:val="0"/>
        </w:rPr>
        <w:t>Repérer le besoin dès l'entretien d'admission, sans demander la nature du handicap.</w:t>
      </w:r>
    </w:p>
    <w:p>
      <w:pPr>
        <w:ind w:left="454" w:hanging="454"/>
      </w:pPr>
      <w:r>
        <w:rPr>
          <w:b/>
          <w:color w:val="1B3A6B"/>
        </w:rPr>
        <w:t xml:space="preserve">2.  </w:t>
      </w:r>
      <w:r>
        <w:rPr>
          <w:b w:val="0"/>
        </w:rPr>
        <w:t>Construire la fiche d'adaptation : rythme, supports en 16 points, poste de travail, pauses, périodes en entreprise adaptées.</w:t>
      </w:r>
    </w:p>
    <w:p>
      <w:pPr>
        <w:ind w:left="454" w:hanging="454"/>
      </w:pPr>
      <w:r>
        <w:rPr>
          <w:b/>
          <w:color w:val="1B3A6B"/>
        </w:rPr>
        <w:t xml:space="preserve">3.  </w:t>
      </w:r>
      <w:r>
        <w:rPr>
          <w:b w:val="0"/>
        </w:rPr>
        <w:t>Aménagement des épreuves du titre : demande transmise au responsable de session dans les délais fixés par la DEETS, sur avis d'un médecin habilité, en s'appuyant sur le guide pratique d'aménagement des sessions d'examen du ministère du Travail (cité par le référentiel d'évaluation MEM v09).</w:t>
      </w:r>
    </w:p>
    <w:p>
      <w:pPr>
        <w:ind w:left="454" w:hanging="454"/>
      </w:pPr>
      <w:r>
        <w:rPr>
          <w:b/>
          <w:color w:val="1B3A6B"/>
        </w:rPr>
        <w:t xml:space="preserve">4.  </w:t>
      </w:r>
      <w:r>
        <w:rPr>
          <w:b w:val="0"/>
        </w:rPr>
        <w:t>Exemples d'aménagements d'épreuve : temps majoré, pauses, matériel adapté, assistance humaine, salle séparée.</w:t>
      </w:r>
    </w:p>
    <w:p>
      <w:pPr>
        <w:ind w:left="454" w:hanging="454"/>
      </w:pPr>
      <w:r>
        <w:rPr>
          <w:b/>
          <w:color w:val="1B3A6B"/>
        </w:rPr>
        <w:t xml:space="preserve">5.  </w:t>
      </w:r>
      <w:r>
        <w:rPr>
          <w:b w:val="0"/>
        </w:rPr>
        <w:t>Informer l'entreprise d'accueil uniquement de l'aménagement à appliquer, avec l'accord de la personne.</w:t>
      </w:r>
    </w:p>
    <w:p>
      <w:pPr>
        <w:ind w:left="454" w:hanging="454"/>
      </w:pPr>
      <w:r>
        <w:rPr>
          <w:b/>
          <w:color w:val="1B3A6B"/>
        </w:rPr>
        <w:t xml:space="preserve">6.  </w:t>
      </w:r>
      <w:r>
        <w:rPr>
          <w:b w:val="0"/>
        </w:rPr>
        <w:t>Bilan en fin de parcours (indicateur 32).</w:t>
      </w:r>
    </w:p>
    <w:p>
      <w:pPr>
        <w:pStyle w:val="Heading2"/>
      </w:pPr>
      <w:r>
        <w:t>Fiche de suivi des aménagements d'examen</w:t>
      </w:r>
    </w:p>
    <w:tbl>
      <w:tblPr>
        <w:tblStyle w:val="TableGrid"/>
        <w:tblW w:type="auto" w:w="0"/>
        <w:tblLayout w:type="fixed"/>
        <w:tblLook w:firstColumn="1" w:firstRow="1" w:lastColumn="0" w:lastRow="0" w:noHBand="0" w:noVBand="1" w:val="04A0"/>
      </w:tblPr>
      <w:tblGrid>
        <w:gridCol w:w="3685"/>
        <w:gridCol w:w="5953"/>
      </w:tblGrid>
      <w:tr>
        <w:trPr>
          <w:cantSplit w:val="true"/>
        </w:trPr>
        <w:tc>
          <w:tcPr>
            <w:tcW w:type="dxa" w:w="3685"/>
            <w:shd w:val="clear" w:color="auto" w:fill="E8EEF7"/>
          </w:tcPr>
          <w:p>
            <w:r>
              <w:rPr>
                <w:b/>
                <w:color w:val="1B3A6B"/>
                <w:sz w:val="22"/>
              </w:rPr>
              <w:t>Stagiaire (nom, prénom)</w:t>
            </w:r>
          </w:p>
        </w:tc>
        <w:tc>
          <w:tcPr>
            <w:tcW w:type="dxa" w:w="5953"/>
          </w:tcPr>
          <w:p/>
        </w:tc>
      </w:tr>
      <w:tr>
        <w:trPr>
          <w:cantSplit w:val="true"/>
        </w:trPr>
        <w:tc>
          <w:tcPr>
            <w:tcW w:type="dxa" w:w="3685"/>
            <w:shd w:val="clear" w:color="auto" w:fill="E8EEF7"/>
          </w:tcPr>
          <w:p>
            <w:r>
              <w:rPr>
                <w:b/>
                <w:color w:val="1B3A6B"/>
                <w:sz w:val="22"/>
              </w:rPr>
              <w:t>Aménagements de parcours décidés</w:t>
            </w:r>
          </w:p>
        </w:tc>
        <w:tc>
          <w:tcPr>
            <w:tcW w:type="dxa" w:w="5953"/>
          </w:tcPr>
          <w:p/>
        </w:tc>
      </w:tr>
      <w:tr>
        <w:trPr>
          <w:cantSplit w:val="true"/>
        </w:trPr>
        <w:tc>
          <w:tcPr>
            <w:tcW w:type="dxa" w:w="3685"/>
            <w:shd w:val="clear" w:color="auto" w:fill="E8EEF7"/>
          </w:tcPr>
          <w:p>
            <w:r>
              <w:rPr>
                <w:b/>
                <w:color w:val="1B3A6B"/>
                <w:sz w:val="22"/>
              </w:rPr>
              <w:t>Aménagements d'épreuve demandés</w:t>
            </w:r>
          </w:p>
        </w:tc>
        <w:tc>
          <w:tcPr>
            <w:tcW w:type="dxa" w:w="5953"/>
          </w:tcPr>
          <w:p/>
        </w:tc>
      </w:tr>
      <w:tr>
        <w:trPr>
          <w:cantSplit w:val="true"/>
        </w:trPr>
        <w:tc>
          <w:tcPr>
            <w:tcW w:type="dxa" w:w="3685"/>
            <w:shd w:val="clear" w:color="auto" w:fill="E8EEF7"/>
          </w:tcPr>
          <w:p>
            <w:r>
              <w:rPr>
                <w:b/>
                <w:color w:val="1B3A6B"/>
                <w:sz w:val="22"/>
              </w:rPr>
              <w:t>Date de transmission au responsable de session</w:t>
            </w:r>
          </w:p>
        </w:tc>
        <w:tc>
          <w:tcPr>
            <w:tcW w:type="dxa" w:w="5953"/>
          </w:tcPr>
          <w:p/>
        </w:tc>
      </w:tr>
      <w:tr>
        <w:trPr>
          <w:cantSplit w:val="true"/>
        </w:trPr>
        <w:tc>
          <w:tcPr>
            <w:tcW w:type="dxa" w:w="3685"/>
            <w:shd w:val="clear" w:color="auto" w:fill="E8EEF7"/>
          </w:tcPr>
          <w:p>
            <w:r>
              <w:rPr>
                <w:b/>
                <w:color w:val="1B3A6B"/>
                <w:sz w:val="22"/>
              </w:rPr>
              <w:t>Réponse reçue le</w:t>
            </w:r>
          </w:p>
        </w:tc>
        <w:tc>
          <w:tcPr>
            <w:tcW w:type="dxa" w:w="5953"/>
          </w:tcPr>
          <w:p/>
        </w:tc>
      </w:tr>
      <w:tr>
        <w:trPr>
          <w:cantSplit w:val="true"/>
        </w:trPr>
        <w:tc>
          <w:tcPr>
            <w:tcW w:type="dxa" w:w="3685"/>
            <w:shd w:val="clear" w:color="auto" w:fill="E8EEF7"/>
          </w:tcPr>
          <w:p>
            <w:r>
              <w:rPr>
                <w:b/>
                <w:color w:val="1B3A6B"/>
                <w:sz w:val="22"/>
              </w:rPr>
              <w:t>Accord pour informer l'entreprise d'accueil (oui / non, périmètre)</w:t>
            </w:r>
          </w:p>
        </w:tc>
        <w:tc>
          <w:tcPr>
            <w:tcW w:type="dxa" w:w="5953"/>
          </w:tcPr>
          <w:p/>
        </w:tc>
      </w:tr>
    </w:tbl>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
              <w:rPr>
                <w:b/>
                <w:color w:val="1B3A6B"/>
                <w:sz w:val="26"/>
              </w:rPr>
              <w:t>RGPD et IA Act — points de conformité de ce document</w:t>
            </w:r>
          </w:p>
          <w:p>
            <w:r>
              <w:rPr>
                <w:b w:val="0"/>
                <w:sz w:val="22"/>
              </w:rPr>
              <w:t>Aucune donnée médicale n'est conservée par l'organisme : seul l'aménagement retenu est noté (RGPD, art. 9 ; politique YEBA-DOC-08).</w:t>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HAND-12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Aménagements de parcours et d'examen</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