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Matrice des preuves Qualiopi</w:t>
      </w:r>
    </w:p>
    <w:p>
      <w:r>
        <w:rPr>
          <w:b/>
          <w:color w:val="1B3A6B"/>
          <w:sz w:val="28"/>
        </w:rPr>
        <w:t>Quel document prouve quel indicateur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 xml:space="preserve">Certificat 25FOR02027.1. Libellés abrégés : se référer au référentiel national qualité et à son guide de lecture pour la formulation exacte. Périmètre : actions de formation, bilans de compétences, actions permettant de faire valider les acquis de l'expérience, actions de formation par apprentissage ; validité du 17/02/2026 au 16/02/2029, sous réserve de l'audit de surveillance. Audit de surveillance à prévoir entre le 14e et le 22e mois, soit entre le 17/04/2027 et le 17/12/2027 </w:t>
      </w:r>
      <w:r>
        <w:rPr>
          <w:b/>
          <w:i/>
          <w:color w:val="1B3A6B"/>
          <w:u w:val="single"/>
        </w:rPr>
        <w:t>[À VÉRIFIER avec Qualitia]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5103"/>
        <w:gridCol w:w="2438"/>
        <w:gridCol w:w="5103"/>
        <w:gridCol w:w="1134"/>
      </w:tblGrid>
      <w:tr>
        <w:trPr>
          <w:tblHeader w:val="true"/>
        </w:trPr>
        <w:tc>
          <w:tcPr>
            <w:tcW w:type="dxa" w:w="79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Indicateur (libellé abrégé)</w:t>
            </w:r>
          </w:p>
        </w:tc>
        <w:tc>
          <w:tcPr>
            <w:tcW w:type="dxa" w:w="243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Applicable</w:t>
            </w:r>
          </w:p>
        </w:tc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Preuves dans le dossier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Prête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Information du public sur les prestations, délais d'accès et résultats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PRG-MEM, PRG-RPMS, PRES-01, CGV YEBA-DOC-03, site internet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de résultats publiés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PIL-03 (indicateurs), page résultats du site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Taux d'obtention des certifications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PIL-03, PRG (résultats nationaux puis YEBA)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Analyse du besoin du bénéficiaire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FI-01, POS-02 (compte rendu d'entretien)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Objectifs opérationnels et évaluables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REAC-MEM, REAC-RPMS (objectifs par séquence)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Contenus et modalités adaptés aux objectifs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DP-MEM, DP-RPMS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Adéquation du contenu aux exigences de la certification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REAC-MEM, REAC-RPMS (correspondance CP / modules / épreuves)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Positionnement à l'entrée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POS-02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Information sur les conditions de déroulement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LIV-MEM, LIV-RPMS, CONVOC-16, YEBA-DOC-04 et avenant RI-06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Adaptation de la prestation, accompagnement et suivi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ABS-13, LIAI-17, bilan de mi-parcours (T6)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Évaluation de l'atteinte des objectifs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Évaluations formatives (à concevoir avec les supports), épreuves blanches T5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Engagement des bénéficiaires et prévention des abandons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ABS-13, PIL-03 (absences)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Coordination centre / entreprise en alternance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 (périodes en entreprise)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GPE-MEM, GPE-RPMS, PAE-14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Exercice de la citoyenneté (apprentis)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Droits et devoirs des apprentis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Conditions de présentation à la certification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PRG, LIV (épreuves et productions), AGR-03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Moyens humains, techniques et locaux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PRES-01, fiche site tiers YEBA-DOC-15 remplie pour le Secrétariat Center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Coordination des intervenants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Planning des intervenants, réunions pédagogiques (comptes rendus)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19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Ressources pédagogiques mises à disposition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Supports de cours (à produire)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20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Référents mobilité, handicap, conseil de perfectionnement (CFA)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Compétences des intervenants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CV, diplômes et certifications des formateurs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Développement des compétences des intervenants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formation des formateurs, charte IA YEBA-DOC-11 signée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23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Veille légale et réglementaire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Registre de veille (textes, arrêtés des titres)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24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Veille sur les emplois, métiers et compétences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Registre de veille (REAC, données emploi)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25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Veille sur les innovations pédagogiques et technologiques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Registre de veille (IA, outils)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26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 des personnes en situation de handicap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YEBA-DOC-08, HAND-12, convention ou contact Agefiph / RHF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Respect du référentiel en cas de sous-traitance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Si sous-traitance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Convention de sous-traitance YEBA-DOC-07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28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Mobilisation des acteurs du milieu professionnel (alternance)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 (périodes en entreprise)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Vivier d'entreprises d'accueil, GPE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29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Insertion professionnelle (CFA)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Non (apprentis)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30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Recueil des appréciations des parties prenantes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EVAL-10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r/>
            <w:r>
              <w:rPr>
                <w:b w:val="0"/>
                <w:sz w:val="22"/>
              </w:rPr>
              <w:t>31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Traitement des réclamations et difficultés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YEBA-DOC-09, table ALERTES &amp; TÂCHES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794"/>
            <w:shd w:val="clear" w:color="auto" w:fill="E8EEF7"/>
          </w:tcPr>
          <w:p>
            <w:r/>
            <w:r>
              <w:rPr>
                <w:b w:val="0"/>
                <w:sz w:val="22"/>
              </w:rPr>
              <w:t>32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Mesures d'amélioration continue</w:t>
            </w:r>
          </w:p>
        </w:tc>
        <w:tc>
          <w:tcPr>
            <w:tcW w:type="dxa" w:w="2438"/>
            <w:shd w:val="clear" w:color="auto" w:fill="E8EEF7"/>
          </w:tcPr>
          <w:p>
            <w:r/>
            <w:r>
              <w:rPr>
                <w:b w:val="0"/>
                <w:sz w:val="22"/>
              </w:rPr>
              <w:t>Oui</w:t>
            </w:r>
          </w:p>
        </w:tc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YEBA-DOC-09 (actions correctives), revue annuelle</w:t>
            </w:r>
          </w:p>
        </w:tc>
        <w:tc>
          <w:tcPr>
            <w:tcW w:type="dxa" w:w="1134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QUA-02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 des preuves Qualiopi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