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Socle documentaire et écarts à corriger</w:t>
      </w:r>
    </w:p>
    <w:p>
      <w:r>
        <w:rPr>
          <w:b/>
          <w:color w:val="1B3A6B"/>
          <w:sz w:val="28"/>
        </w:rPr>
        <w:t>Articulation avec les documents officiels YEBA et la base Airtable</w:t>
      </w:r>
    </w:p>
    <w:p>
      <w:pPr>
        <w:pBdr>
          <w:bottom w:val="single" w:sz="18" w:space="1" w:color="C9A84C"/>
        </w:pBdr>
      </w:pPr>
    </w:p>
    <w:p>
      <w:r>
        <w:rPr>
          <w:b w:val="0"/>
        </w:rPr>
        <w:t>La table « DOCUMENTS OFFICIELS YEBA » d'Airtable reste la source unique de vérité. Les documents du présent dossier la complètent pour les parcours certifiants, sans la dupliquer.</w:t>
      </w:r>
    </w:p>
    <w:p>
      <w:pPr>
        <w:pStyle w:val="Heading1"/>
      </w:pPr>
      <w:r>
        <w:t>1. Quel document officiel utiliser, et quand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252"/>
        <w:gridCol w:w="1701"/>
        <w:gridCol w:w="6690"/>
      </w:tblGrid>
      <w:tr>
        <w:trPr>
          <w:tblHeader w:val="true"/>
        </w:trPr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Référence</w:t>
            </w:r>
          </w:p>
        </w:tc>
        <w:tc>
          <w:tcPr>
            <w:tcW w:type="dxa" w:w="425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Document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Statut</w:t>
            </w:r>
          </w:p>
        </w:tc>
        <w:tc>
          <w:tcPr>
            <w:tcW w:type="dxa" w:w="669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Usage dans les parcours certifiants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YEBA-DOC-02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Politique de confidentialité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En vigueur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2"/>
              </w:rPr>
              <w:t>Remise à l'inscription ; annexe de la convention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YEBA-DOC-03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Conditions générales de vente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Incomplet</w:t>
            </w:r>
          </w:p>
        </w:tc>
        <w:tc>
          <w:tcPr>
            <w:tcW w:type="dxa" w:w="6690"/>
            <w:shd w:val="clear" w:color="auto" w:fill="E8EEF7"/>
          </w:tcPr>
          <w:p>
            <w:r/>
            <w:r>
              <w:rPr>
                <w:b w:val="0"/>
                <w:sz w:val="22"/>
              </w:rPr>
              <w:t>Annexe de la convention, avec les conditions particulières CP-05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YEBA-DOC-04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Règlement intérieur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En vigueur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2"/>
              </w:rPr>
              <w:t>Remis avant l'entrée, avec l'avenant RI-06 ; affiché dans la salle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YEBA-DOC-05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Convention de formation (formations courtes)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Incomplet</w:t>
            </w:r>
          </w:p>
        </w:tc>
        <w:tc>
          <w:tcPr>
            <w:tcW w:type="dxa" w:w="6690"/>
            <w:shd w:val="clear" w:color="auto" w:fill="E8EEF7"/>
          </w:tcPr>
          <w:p>
            <w:r/>
            <w:r>
              <w:rPr>
                <w:b w:val="0"/>
                <w:sz w:val="22"/>
              </w:rPr>
              <w:t>Remplacée par CONV-03 pour les parcours certifiants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YEBA-DOC-06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Contrat particulier (formations courtes)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Incomplet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2"/>
              </w:rPr>
              <w:t>Remplacé par CTR-04 pour les parcours certifiants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YEBA-DOC-08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Politique handicap et accessibilité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 vigueur</w:t>
            </w:r>
          </w:p>
        </w:tc>
        <w:tc>
          <w:tcPr>
            <w:tcW w:type="dxa" w:w="6690"/>
            <w:shd w:val="clear" w:color="auto" w:fill="E8EEF7"/>
          </w:tcPr>
          <w:p>
            <w:r/>
            <w:r>
              <w:rPr>
                <w:b w:val="0"/>
                <w:sz w:val="22"/>
              </w:rPr>
              <w:t>Remise à l'inscription ; complétée par HAND-12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YEBA-DOC-09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Procédure de réclamation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Incomplet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2"/>
              </w:rPr>
              <w:t>Remise à l'entrée ; annexe de la convention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YEBA-DOC-11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Charte d'usage de l'IA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 vigueur</w:t>
            </w:r>
          </w:p>
        </w:tc>
        <w:tc>
          <w:tcPr>
            <w:tcW w:type="dxa" w:w="6690"/>
            <w:shd w:val="clear" w:color="auto" w:fill="E8EEF7"/>
          </w:tcPr>
          <w:p>
            <w:r/>
            <w:r>
              <w:rPr>
                <w:b w:val="0"/>
                <w:sz w:val="22"/>
              </w:rPr>
              <w:t>Remise à l'entrée ; signée par les formateurs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YEBA-DOC-14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Procédure violences, harcèlement, discriminations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À valider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2"/>
              </w:rPr>
              <w:t>Citée dans SST-18 ; à valider avant la 1re promotion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YEBA-DOC-15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Fiche site d'accueil tiers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 vigueur</w:t>
            </w:r>
          </w:p>
        </w:tc>
        <w:tc>
          <w:tcPr>
            <w:tcW w:type="dxa" w:w="6690"/>
            <w:shd w:val="clear" w:color="auto" w:fill="E8EEF7"/>
          </w:tcPr>
          <w:p>
            <w:r/>
            <w:r>
              <w:rPr>
                <w:b w:val="0"/>
                <w:sz w:val="22"/>
              </w:rPr>
              <w:t>À remplir pour le Secrétariat Center avant la 1re session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YEBA-DOC-16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Registre des traitements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Incomplet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2"/>
              </w:rPr>
              <w:t>À compléter avec RGPD-01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YEBA-DOC-17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Attestation de fin de formation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En vigueur</w:t>
            </w:r>
          </w:p>
        </w:tc>
        <w:tc>
          <w:tcPr>
            <w:tcW w:type="dxa" w:w="6690"/>
            <w:shd w:val="clear" w:color="auto" w:fill="E8EEF7"/>
          </w:tcPr>
          <w:p>
            <w:r/>
            <w:r>
              <w:rPr>
                <w:b w:val="0"/>
                <w:sz w:val="22"/>
              </w:rPr>
              <w:t>Remise en fin de parcours (heures centre et entreprise, résultats par CCP)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YEBA-DOC-18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Certificat de réalisation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En vigueur</w:t>
            </w:r>
          </w:p>
        </w:tc>
        <w:tc>
          <w:tcPr>
            <w:tcW w:type="dxa" w:w="6690"/>
          </w:tcPr>
          <w:p>
            <w:r/>
            <w:r>
              <w:rPr>
                <w:b w:val="0"/>
                <w:sz w:val="22"/>
              </w:rPr>
              <w:t>Remis au financeur</w:t>
            </w:r>
          </w:p>
        </w:tc>
      </w:tr>
    </w:tbl>
    <w:p/>
    <w:p>
      <w:pPr>
        <w:pStyle w:val="Heading1"/>
      </w:pPr>
      <w:r>
        <w:t>2. Écarts relevés le 22/10/2026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670"/>
        <w:gridCol w:w="6747"/>
      </w:tblGrid>
      <w:tr>
        <w:trPr>
          <w:tblHeader w:val="true"/>
        </w:trPr>
        <w:tc>
          <w:tcPr>
            <w:tcW w:type="dxa" w:w="215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Sujet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Constat</w:t>
            </w:r>
          </w:p>
        </w:tc>
        <w:tc>
          <w:tcPr>
            <w:tcW w:type="dxa" w:w="674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Correction proposée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Qualiopi — catégories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Le bloc-marque de la charte et de tous les documents officiels indique « catégorie actions de formation »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Le certificat couvre les 4 catégories : mettre à jour le bloc-marque (charte, DOC-02 à DOC-18, CONFIG SYSTÈME)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Qualiopi — validité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CONFIG SYSTÈME et DOC-10 indiquent une échéance au 16/02/2027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Le certificat est valable jusqu'au 16/02/2029 ; audit de surveillance entre le 17/04/2027 et le 17/12/2027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TVA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DOC-05 et DOC-06 indiquent « exonération, art. 261-4-4° a du CGI »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Remplacer par « TVA non applicable — article 293 B du CGI » (règle de CONFIG SYSTÈME et des CGV)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Assurance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DOC-05, article 10, garde des crochets [ASSUREUR]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Reporter les données Hiscox (police HRCP300980) déjà présentes dans CONFIG SYSTÈME et les CGV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Horaires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Horaires standard 8 h 30 – 16 h 30 dans DOC-04, DOC-05, DOC-06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Conserver pour les formations courtes ; les parcours certifiants suivent 8 h 00 – 16 h 00 (avenant RI-06)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Délégués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DOC-04, article 23 : « l'ensemble des formations du catalogue » dure moins de 500 heures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Ajouter les titres professionnels (plus de 500 heures) à l'article 22, ou s'appuyer sur l'avenant RI-06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Mention EI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Le bloc-marque ne porte pas la mention « entrepreneur individuel »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Ajouter « EI » ou « entrepreneur individuel » sur les factures, devis, site et courriels (loi n° 2022-172)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Médiateur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Aucun médiateur de la consommation désigné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Adhérer avant toute signature d'un contrat avec un particulier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CPF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CONFIG SYSTÈME : « NON éligible — aucune certification RNCP/RS »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Les titres MEM et RPMS sont des certifications RNCP : à mettre à jour dès leur publication sur Mon Compte Formation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8EEF7"/>
          </w:tcPr>
          <w:p>
            <w:r/>
            <w:r>
              <w:rPr>
                <w:b w:val="0"/>
                <w:sz w:val="22"/>
              </w:rPr>
              <w:t>Logo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La charte désigne le fichier « logo-yeba-sans-oeil.svg » (nœud de connexion) ; le dossier utilise le logo PNG transmis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Confirmer le logo officiel ; un seul fichier pour tous les supports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r/>
            <w:r>
              <w:rPr>
                <w:b w:val="0"/>
                <w:sz w:val="22"/>
              </w:rPr>
              <w:t>Assurance — IA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Exclusion « intelligence artificielle » dans les conditions particulières Hiscox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Obtenir du courtier une confirmation écrite que le module IA des parcours et le conseil sont couverts</w:t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SOC-04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Socle documentaire et écarts à corriger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