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F3A5F"/>
          <w:sz w:val="36"/>
          <w:szCs w:val="36"/>
        </w:rPr>
        <w:t xml:space="preserve">YEBA FORMATIONS</w:t>
      </w:r>
    </w:p>
    <w:p>
      <w:pPr>
        <w:pBdr>
          <w:bottom w:val="single" w:color="C8691C" w:sz="12" w:space="6"/>
        </w:pBdr>
        <w:spacing w:after="24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C8691C"/>
          <w:sz w:val="24"/>
          <w:szCs w:val="24"/>
        </w:rPr>
        <w:t xml:space="preserve">Pièce n° 04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Tableau récapitulatif des titres et qualités des formateurs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Référence</w:t>
            </w:r>
          </w:p>
        </w:tc>
        <w:tc>
          <w:tcPr>
            <w:tcW w:type="dxa" w:w="7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Présentation des personnes intervenant en qualité de formateur ; les diplômes, certificats et CV sont joints en annexe.</w:t>
            </w:r>
          </w:p>
        </w:tc>
      </w:tr>
      <w:tr>
        <w:trPr>
          <w:cantSplit/>
        </w:trPr>
        <w:tc>
          <w:tcPr>
            <w:tcW w:type="dxa" w:w="2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Organisme</w:t>
            </w:r>
          </w:p>
        </w:tc>
        <w:tc>
          <w:tcPr>
            <w:tcW w:type="dxa" w:w="7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YEBA FORMATIONS — SIRET 814 622 262 00032 — NDA 04973676397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Certification Qualiopi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n° 25FOR02027.1 — </w:t>
            </w: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[préciser si la catégorie « actions de formation par apprentissage » est déjà couverte ou en cours d’extension]</w:t>
            </w:r>
          </w:p>
        </w:tc>
      </w:tr>
      <w:tr>
        <w:trPr>
          <w:cantSplit/>
        </w:trPr>
        <w:tc>
          <w:tcPr>
            <w:tcW w:type="dxa" w:w="2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Responsable</w:t>
            </w:r>
          </w:p>
        </w:tc>
        <w:tc>
          <w:tcPr>
            <w:tcW w:type="dxa" w:w="7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Aurélien LUMEKA, Directeur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Version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Version 1 du 28/10/2026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1. Équipe pédagogique de la première promotion</w:t>
      </w:r>
    </w:p>
    <w:p>
      <w:pPr>
        <w:spacing w:after="120" w:line="288"/>
        <w:jc w:val="both"/>
      </w:pPr>
      <w:r>
        <w:rPr>
          <w:rFonts w:ascii="Arial" w:cs="Arial" w:eastAsia="Arial" w:hAnsi="Arial"/>
        </w:rPr>
        <w:t xml:space="preserve">Le tableau ci-dessous recense les intervenants pressentis. Chaque ligne renvoie à un justificatif joint (CV daté et signé, copie des diplômes et certificats).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700"/>
        <w:gridCol w:w="1500"/>
        <w:gridCol w:w="3200"/>
        <w:gridCol w:w="1800"/>
        <w:gridCol w:w="1438"/>
      </w:tblGrid>
      <w:tr>
        <w:trPr>
          <w:tblHeader/>
        </w:trPr>
        <w:tc>
          <w:tcPr>
            <w:tcW w:type="dxa" w:w="17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Intervenant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Statut</w:t>
            </w:r>
          </w:p>
        </w:tc>
        <w:tc>
          <w:tcPr>
            <w:tcW w:type="dxa" w:w="3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Titres et qualités</w:t>
            </w:r>
          </w:p>
        </w:tc>
        <w:tc>
          <w:tcPr>
            <w:tcW w:type="dxa" w:w="1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Modules assurés</w:t>
            </w:r>
          </w:p>
        </w:tc>
        <w:tc>
          <w:tcPr>
            <w:tcW w:type="dxa" w:w="1438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Justificatifs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Aurélien LUMEKA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Directeur, formateur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Formateur en vente, négociation et management depuis 2021 dans plusieurs centres de formation de La Réunion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Google AI Specialist ; Google Professional AI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Référent handicap en organisme de formation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SecNumacadémie (ANSSI)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MOOC RGPD de la CNIL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[diplôme(s) initial(aux) et titre de formateur éventuel]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Vente, négociation, relation client, management, outils numériques et IA, RGPD</w:t>
            </w:r>
          </w:p>
        </w:tc>
        <w:tc>
          <w:tcPr>
            <w:tcW w:type="dxa" w:w="14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CV ; copies des attestations ; </w:t>
            </w: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[diplômes]</w:t>
            </w:r>
          </w:p>
        </w:tc>
      </w:tr>
      <w:tr>
        <w:trPr>
          <w:cantSplit/>
        </w:trPr>
        <w:tc>
          <w:tcPr>
            <w:tcW w:type="dxa" w:w="17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[Nom]</w:t>
            </w:r>
          </w:p>
        </w:tc>
        <w:tc>
          <w:tcPr>
            <w:tcW w:type="dxa" w:w="15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[Salarié / indépendant / sous-traitant]</w:t>
            </w:r>
          </w:p>
        </w:tc>
        <w:tc>
          <w:tcPr>
            <w:tcW w:type="dxa" w:w="32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[Diplôme et expérience professionnelle dans le métier visé]</w:t>
            </w:r>
          </w:p>
        </w:tc>
        <w:tc>
          <w:tcPr>
            <w:tcW w:type="dxa" w:w="18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[Modules]</w:t>
            </w:r>
          </w:p>
        </w:tc>
        <w:tc>
          <w:tcPr>
            <w:tcW w:type="dxa" w:w="14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[CV, diplômes, contrat]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[Nom]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[Statut]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[Titres]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[Modules]</w:t>
            </w:r>
          </w:p>
        </w:tc>
        <w:tc>
          <w:tcPr>
            <w:tcW w:type="dxa" w:w="14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[Justificatifs]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2. Règles de recrutement et de maintien des compétences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Chaque formateur justifie d’une </w:t>
      </w:r>
      <w:r>
        <w:rPr>
          <w:rFonts w:ascii="Arial" w:cs="Arial" w:eastAsia="Arial" w:hAnsi="Arial"/>
          <w:b/>
          <w:bCs/>
        </w:rPr>
        <w:t xml:space="preserve">expérience professionnelle dans le métier enseigné</w:t>
      </w:r>
      <w:r>
        <w:rPr>
          <w:rFonts w:ascii="Arial" w:cs="Arial" w:eastAsia="Arial" w:hAnsi="Arial"/>
        </w:rPr>
        <w:t xml:space="preserve"> et/ou d’un diplôme de niveau au moins égal à celui de la certification préparée.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Pour les titres professionnels du ministère du Travail, l’équipe respecte les exigences fixées par le référentiel de certification et l’arrêté du titre (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[à vérifier pour chaque titre]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Chaque formateur suit au moins </w:t>
      </w:r>
      <w:r>
        <w:rPr>
          <w:rFonts w:ascii="Arial" w:cs="Arial" w:eastAsia="Arial" w:hAnsi="Arial"/>
          <w:b/>
          <w:bCs/>
        </w:rPr>
        <w:t xml:space="preserve">une action de développement des compétences par an</w:t>
      </w:r>
      <w:r>
        <w:rPr>
          <w:rFonts w:ascii="Arial" w:cs="Arial" w:eastAsia="Arial" w:hAnsi="Arial"/>
        </w:rPr>
        <w:t xml:space="preserve"> (pédagogie, handicap, numérique, métier), tracée dans un plan annuel conformément à l’indicateur 26 du référentiel national qualité.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Les intervenants extérieurs signent une </w:t>
      </w:r>
      <w:r>
        <w:rPr>
          <w:rFonts w:ascii="Arial" w:cs="Arial" w:eastAsia="Arial" w:hAnsi="Arial"/>
          <w:b/>
          <w:bCs/>
        </w:rPr>
        <w:t xml:space="preserve">charte de l’intervenant</w:t>
      </w:r>
      <w:r>
        <w:rPr>
          <w:rFonts w:ascii="Arial" w:cs="Arial" w:eastAsia="Arial" w:hAnsi="Arial"/>
        </w:rPr>
        <w:t xml:space="preserve"> (posture, égalité, confidentialité, RGPD).</w:t>
      </w:r>
    </w:p>
    <w:tbl>
      <w:tblPr>
        <w:tblW w:type="dxa" w:w="9638"/>
        <w:tblBorders>
          <w:top w:val="none" w:color="FFFFFF" w:sz="0"/>
          <w:left w:val="single" w:color="1F3A5F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AF0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F3A5F"/>
              </w:rPr>
              <w:t xml:space="preserve">Conformité RGPD / IA Act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</w:rPr>
              <w:t xml:space="preserve">RGPD</w:t>
            </w:r>
            <w:r>
              <w:rPr>
                <w:rFonts w:ascii="Arial" w:cs="Arial" w:eastAsia="Arial" w:hAnsi="Arial"/>
              </w:rPr>
              <w:t xml:space="preserve"> — Les CV et diplômes des formateurs sont des données personnelles : ils ne sont transmis à la DEETS qu’aux fins de l’instruction, avec information préalable des intéressés. Conservation limitée à la durée de la collaboration augmentée des délais de contrôle (</w:t>
            </w: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[durée à fixer]</w:t>
            </w:r>
            <w:r>
              <w:rPr>
                <w:rFonts w:ascii="Arial" w:cs="Arial" w:eastAsia="Arial" w:hAnsi="Arial"/>
              </w:rPr>
              <w:t xml:space="preserve">).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Arial" w:cs="Arial" w:eastAsia="Arial" w:hAnsi="Arial"/>
        </w:rPr>
        <w:t xml:space="preserve">Fait à 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[commune]</w:t>
      </w:r>
      <w:r>
        <w:rPr>
          <w:rFonts w:ascii="Arial" w:cs="Arial" w:eastAsia="Arial" w:hAnsi="Arial"/>
        </w:rPr>
        <w:t xml:space="preserve">, le 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[date d’envoi]</w:t>
      </w:r>
      <w:r>
        <w:rPr>
          <w:rFonts w:ascii="Arial" w:cs="Arial" w:eastAsia="Arial" w:hAnsi="Arial"/>
        </w:rPr>
        <w:t xml:space="preserve">.</w:t>
      </w:r>
    </w:p>
    <w:p>
      <w:pPr>
        <w:spacing w:after="120" w:line="288"/>
        <w:jc w:val="left"/>
      </w:pPr>
      <w:r>
        <w:rPr>
          <w:rFonts w:ascii="Arial" w:cs="Arial" w:eastAsia="Arial" w:hAnsi="Arial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Arial" w:cs="Arial" w:eastAsia="Arial" w:hAnsi="Arial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SIRET 814 622 262 00032 — NDA 04973676397 — Qualiopi 25FOR02027.1 — Page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95959"/>
        <w:sz w:val="16"/>
        <w:szCs w:val="16"/>
      </w:rPr>
      <w:t xml:space="preserve"> /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95959"/>
        <w:sz w:val="16"/>
        <w:szCs w:val="16"/>
      </w:rPr>
      <w:t xml:space="preserve">YEBA FORMATIONS — Dossier apprentissage — Pièce 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C8691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04 — Tableau récapitulatif des titres et qualités des formateurs</dc:title>
  <dc:creator>Aurélien LUMEKA</dc:creator>
  <cp:lastModifiedBy>Un-named</cp:lastModifiedBy>
  <cp:revision>1</cp:revision>
  <dcterms:created xsi:type="dcterms:W3CDTF">2026-10-28T12:04:48.205Z</dcterms:created>
  <dcterms:modified xsi:type="dcterms:W3CDTF">2026-10-28T12:04:48.205Z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