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36"/>
          <w:szCs w:val="36"/>
        </w:rPr>
        <w:t xml:space="preserve">YEBA FORMATIONS</w:t>
      </w:r>
    </w:p>
    <w:p>
      <w:pPr>
        <w:pBdr>
          <w:bottom w:val="single" w:color="C8691C" w:sz="12" w:space="6"/>
        </w:pBdr>
        <w:spacing w:after="2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8691C"/>
          <w:sz w:val="24"/>
          <w:szCs w:val="24"/>
        </w:rPr>
        <w:t xml:space="preserve">Pièce n° 09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Éléments et accords visant à favoriser la mobilité internationale des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Référence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Organisation de la mobilité nationale et internationale des apprentis, partenaires sollicités et état des accords.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Organisme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YEBA FORMATIONS — SIRET 814 622 262 00032 — NDA 04973676397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Certification Qualiopi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n° 25FOR02027.1 —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[préciser si la catégorie « actions de formation par apprentissage » est déjà couverte ou en cours d’extension]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Responsable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Version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Version 1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1. Engagement</w:t>
      </w:r>
    </w:p>
    <w:p>
      <w:pPr>
        <w:spacing w:after="120" w:line="288"/>
        <w:jc w:val="both"/>
      </w:pPr>
      <w:r>
        <w:rPr>
          <w:rFonts w:ascii="Arial" w:cs="Arial" w:eastAsia="Arial" w:hAnsi="Arial"/>
        </w:rPr>
        <w:t xml:space="preserve">L’article L.6231-2 du Code du travail demande aux CFA d’encourager la mobilité nationale et internationale des apprentis en nommant un personnel dédié, qui peut être un </w:t>
      </w:r>
      <w:r>
        <w:rPr>
          <w:rFonts w:ascii="Arial" w:cs="Arial" w:eastAsia="Arial" w:hAnsi="Arial"/>
          <w:b/>
          <w:bCs/>
        </w:rPr>
        <w:t xml:space="preserve">référent mobilité</w:t>
      </w:r>
      <w:r>
        <w:rPr>
          <w:rFonts w:ascii="Arial" w:cs="Arial" w:eastAsia="Arial" w:hAnsi="Arial"/>
        </w:rPr>
        <w:t xml:space="preserve">. Pour un apprenti réunionnais, la mobilité est à la fois une ouverture et un défi (coût, éloignement, famille). YEBA FORMATIONS en fait une option accompagnée, jamais une obligation.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Élément</w:t>
            </w:r>
          </w:p>
        </w:tc>
        <w:tc>
          <w:tcPr>
            <w:tcW w:type="dxa" w:w="70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Référent mobilité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Aurélien LUMEKA, Directeur —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[ou autre personne désignée]</w:t>
            </w:r>
            <w:r>
              <w:rPr>
                <w:rFonts w:ascii="Arial" w:cs="Arial" w:eastAsia="Arial" w:hAnsi="Arial"/>
              </w:rPr>
              <w:t xml:space="preserve"> ; lettre de mission jointe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Public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Tout apprenti volontaire, avec l’accord de son employeur ; dispositions spécifiques pour les mineurs (autorisation des représentants légaux)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Durée envisagée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Mobilités courtes (2 à 4 semaines) pour la première promotion ; mobilités longues étudiées ensuite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2. Dispositifs mobilisables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3000"/>
        <w:gridCol w:w="4400"/>
        <w:gridCol w:w="2238"/>
      </w:tblGrid>
      <w:tr>
        <w:trPr>
          <w:tblHeader/>
        </w:trPr>
        <w:tc>
          <w:tcPr>
            <w:tcW w:type="dxa" w:w="30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Dispositif / acteur</w:t>
            </w:r>
          </w:p>
        </w:tc>
        <w:tc>
          <w:tcPr>
            <w:tcW w:type="dxa" w:w="44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Intérêt pour nos apprentis</w:t>
            </w:r>
          </w:p>
        </w:tc>
        <w:tc>
          <w:tcPr>
            <w:tcW w:type="dxa" w:w="22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État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Programme </w:t>
            </w:r>
            <w:r>
              <w:rPr>
                <w:rFonts w:ascii="Arial" w:cs="Arial" w:eastAsia="Arial" w:hAnsi="Arial"/>
                <w:b/>
                <w:bCs/>
              </w:rPr>
              <w:t xml:space="preserve">Erasmus+</w:t>
            </w:r>
            <w:r>
              <w:rPr>
                <w:rFonts w:ascii="Arial" w:cs="Arial" w:eastAsia="Arial" w:hAnsi="Arial"/>
              </w:rPr>
              <w:t xml:space="preserve"> (Agence Erasmus+ France / Éducation Formation)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Financement de mobilités d’apprentis en Europe ; possibilité d’adhérer à un consortium porté par un acteur régional</w:t>
            </w:r>
          </w:p>
        </w:tc>
        <w:tc>
          <w:tcPr>
            <w:tcW w:type="dxa" w:w="2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[À solliciter / candidature prévue en … / adhésion à un consortium]</w:t>
            </w:r>
          </w:p>
        </w:tc>
      </w:tr>
      <w:tr>
        <w:trPr>
          <w:cantSplit/>
        </w:trPr>
        <w:tc>
          <w:tcPr>
            <w:tcW w:type="dxa" w:w="3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LADOM</w:t>
            </w:r>
            <w:r>
              <w:rPr>
                <w:rFonts w:ascii="Arial" w:cs="Arial" w:eastAsia="Arial" w:hAnsi="Arial"/>
              </w:rPr>
              <w:t xml:space="preserve"> (L’Agence de l’Outre-mer pour la Mobilité)</w:t>
            </w:r>
          </w:p>
        </w:tc>
        <w:tc>
          <w:tcPr>
            <w:tcW w:type="dxa" w:w="44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Aide à la mobilité des Ultramarins en formation vers l’Hexagone</w:t>
            </w:r>
          </w:p>
        </w:tc>
        <w:tc>
          <w:tcPr>
            <w:tcW w:type="dxa" w:w="22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[À solliciter — conditions à vérifier]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Région Réunion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Dispositifs régionaux d’aide à la mobilité des jeunes</w:t>
            </w:r>
          </w:p>
        </w:tc>
        <w:tc>
          <w:tcPr>
            <w:tcW w:type="dxa" w:w="2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[À vérifier]</w:t>
            </w:r>
          </w:p>
        </w:tc>
      </w:tr>
      <w:tr>
        <w:trPr>
          <w:cantSplit/>
        </w:trPr>
        <w:tc>
          <w:tcPr>
            <w:tcW w:type="dxa" w:w="3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Coopération régionale océan Indien</w:t>
            </w:r>
          </w:p>
        </w:tc>
        <w:tc>
          <w:tcPr>
            <w:tcW w:type="dxa" w:w="44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Échanges avec Maurice, Madagascar, les Seychelles, dans le cadre des programmes de coopération (Interreg océan Indien)</w:t>
            </w:r>
          </w:p>
        </w:tc>
        <w:tc>
          <w:tcPr>
            <w:tcW w:type="dxa" w:w="22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[Piste à explorer]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Mobilité nationale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Stages ou séjours d’étude dans une entreprise ou un CFA partenaire de l’Hexagone</w:t>
            </w:r>
          </w:p>
        </w:tc>
        <w:tc>
          <w:tcPr>
            <w:tcW w:type="dxa" w:w="2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[À construire]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3. Organisation d’une mobilité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Information de tous les apprentis dès l’intégration et lors d’une réunion annuelle dédiée.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Recueil des souhaits, accord de l’employeur, autorisation parentale pour les mineurs.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Montage : choix de l’organisme d’accueil, contrat pédagogique, financement, assurance, logement, transport.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Préparation au départ : culturelle, linguistique, sécurité.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Suivi pendant le séjour par le référent mobilité (contact hebdomadaire).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Valorisation au retour : attestation (par exemple Europass Mobilité), restitution devant la promotion, prise en compte des compétences acquises dans l’évaluation lorsque le référentiel le permet.</w:t>
      </w:r>
    </w:p>
    <w:p>
      <w:pPr>
        <w:spacing w:after="120" w:line="288"/>
        <w:jc w:val="both"/>
      </w:pPr>
      <w:r>
        <w:rPr>
          <w:rFonts w:ascii="Arial" w:cs="Arial" w:eastAsia="Arial" w:hAnsi="Arial"/>
        </w:rPr>
        <w:t xml:space="preserve">Le Code du travail prévoit des règles particulières pour la mobilité à l’étranger d’un apprenti, notamment la possibilité de mise à disposition ou de mise en veille du contrat (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[conditions et durées à vérifier : art. L.6222-42 et suivants]</w:t>
      </w:r>
      <w:r>
        <w:rPr>
          <w:rFonts w:ascii="Arial" w:cs="Arial" w:eastAsia="Arial" w:hAnsi="Arial"/>
        </w:rPr>
        <w:t xml:space="preserve">).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4. Accords signés à ce jour</w:t>
      </w:r>
    </w:p>
    <w:tbl>
      <w:tblPr>
        <w:tblW w:type="dxa" w:w="9638"/>
        <w:tblBorders>
          <w:top w:val="none" w:color="FFFFFF" w:sz="0"/>
          <w:left w:val="single" w:color="C8691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FF4E5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8691C"/>
              </w:rPr>
              <w:t xml:space="preserve">Situation à la date du dossier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[Aucun accord n’est signé à ce jour : les démarches ci-dessus sont prévues selon le calendrier suivant…]</w:t>
            </w:r>
            <w:r>
              <w:rPr>
                <w:rFonts w:ascii="Arial" w:cs="Arial" w:eastAsia="Arial" w:hAnsi="Arial"/>
              </w:rPr>
              <w:t xml:space="preserve"> — ou —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[liste des accords signés, joints en annexe]</w:t>
            </w:r>
            <w:r>
              <w:rPr>
                <w:rFonts w:ascii="Arial" w:cs="Arial" w:eastAsia="Arial" w:hAnsi="Arial"/>
              </w:rPr>
              <w:t xml:space="preserve">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</w:rPr>
              <w:t xml:space="preserve">Il est préférable d’indiquer clairement l’absence d’accord et un calendrier crédible plutôt que de présenter des contacts comme des partenariats.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F3A5F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AF0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A5F"/>
              </w:rPr>
              <w:t xml:space="preserve">Conformité RGPD / IA Act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</w:rPr>
              <w:t xml:space="preserve">RGPD</w:t>
            </w:r>
            <w:r>
              <w:rPr>
                <w:rFonts w:ascii="Arial" w:cs="Arial" w:eastAsia="Arial" w:hAnsi="Arial"/>
              </w:rPr>
              <w:t xml:space="preserve"> — La transmission de données d’un apprenti à un organisme d’accueil hors Union européenne (par exemple Maurice, Madagascar) constitue un </w:t>
            </w:r>
            <w:r>
              <w:rPr>
                <w:rFonts w:ascii="Arial" w:cs="Arial" w:eastAsia="Arial" w:hAnsi="Arial"/>
                <w:b/>
                <w:bCs/>
              </w:rPr>
              <w:t xml:space="preserve">transfert hors UE</w:t>
            </w:r>
            <w:r>
              <w:rPr>
                <w:rFonts w:ascii="Arial" w:cs="Arial" w:eastAsia="Arial" w:hAnsi="Arial"/>
              </w:rPr>
              <w:t xml:space="preserve"> : il doit être encadré (information de l’apprenti, garanties appropriées, minimisation des données transmises).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Arial" w:cs="Arial" w:eastAsia="Arial" w:hAnsi="Arial"/>
        </w:rPr>
        <w:t xml:space="preserve">Fait à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[commune]</w:t>
      </w:r>
      <w:r>
        <w:rPr>
          <w:rFonts w:ascii="Arial" w:cs="Arial" w:eastAsia="Arial" w:hAnsi="Arial"/>
        </w:rPr>
        <w:t xml:space="preserve">, le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[date d’envoi]</w:t>
      </w:r>
      <w:r>
        <w:rPr>
          <w:rFonts w:ascii="Arial" w:cs="Arial" w:eastAsia="Arial" w:hAnsi="Arial"/>
        </w:rPr>
        <w:t xml:space="preserve">.</w:t>
      </w:r>
    </w:p>
    <w:p>
      <w:pPr>
        <w:spacing w:after="120" w:line="288"/>
        <w:jc w:val="left"/>
      </w:pPr>
      <w:r>
        <w:rPr>
          <w:rFonts w:ascii="Arial" w:cs="Arial" w:eastAsia="Arial" w:hAnsi="Arial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Arial" w:cs="Arial" w:eastAsia="Arial" w:hAnsi="Arial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SIRET 814 622 262 00032 — NDA 04973676397 — Qualiopi 25FOR02027.1 —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/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YEBA FORMATIONS — Dossier apprentissage — Pièce 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C869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09 — Éléments et accords visant à favoriser la mobilité internationale des apprentis</dc:title>
  <dc:creator>Aurélien LUMEKA</dc:creator>
  <cp:lastModifiedBy>Un-named</cp:lastModifiedBy>
  <cp:revision>1</cp:revision>
  <dcterms:created xsi:type="dcterms:W3CDTF">2026-10-28T12:04:48.528Z</dcterms:created>
  <dcterms:modified xsi:type="dcterms:W3CDTF">2026-10-28T12:04:48.528Z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