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36"/>
          <w:szCs w:val="36"/>
        </w:rPr>
        <w:t xml:space="preserve">YEBA FORMATIONS</w:t>
      </w:r>
    </w:p>
    <w:p>
      <w:pPr>
        <w:pBdr>
          <w:bottom w:val="single" w:color="C8691C" w:sz="12" w:space="6"/>
        </w:pBdr>
        <w:spacing w:after="240"/>
      </w:pPr>
      <w:r>
        <w:rPr>
          <w:rFonts w:ascii="Arial" w:cs="Arial" w:eastAsia="Arial" w:hAnsi="Arial"/>
          <w:color w:val="595959"/>
          <w:sz w:val="20"/>
          <w:szCs w:val="20"/>
        </w:rPr>
        <w:t xml:space="preserve">Organisme de formation — Extension de la déclaration d’activité à la formation par apprentissage</w:t>
      </w:r>
    </w:p>
    <w:p>
      <w:pPr>
        <w:spacing w:after="60"/>
      </w:pPr>
      <w:r>
        <w:rPr>
          <w:rFonts w:ascii="Arial" w:cs="Arial" w:eastAsia="Arial" w:hAnsi="Arial"/>
          <w:b/>
          <w:bCs/>
          <w:color w:val="C8691C"/>
          <w:sz w:val="24"/>
          <w:szCs w:val="24"/>
        </w:rPr>
        <w:t xml:space="preserve">Pièce n° 15</w:t>
      </w:r>
    </w:p>
    <w:p>
      <w:pPr>
        <w:spacing w:after="160"/>
      </w:pPr>
      <w:r>
        <w:rPr>
          <w:rFonts w:ascii="Arial" w:cs="Arial" w:eastAsia="Arial" w:hAnsi="Arial"/>
          <w:b/>
          <w:bCs/>
          <w:color w:val="1F3A5F"/>
          <w:sz w:val="32"/>
          <w:szCs w:val="32"/>
        </w:rPr>
        <w:t xml:space="preserve">État descriptif — Sensibilisation des apprentis à la création ou à la reprise d’entreprise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F3A5F" w:color="auto" w:val="clear"/>
            <w:tcMar>
              <w:top w:type="dxa" w:w="60"/>
              <w:left w:type="dxa" w:w="90"/>
              <w:bottom w:type="dxa" w:w="60"/>
              <w:right w:type="dxa" w:w="90"/>
            </w:tcMar>
          </w:tcPr>
          <w:p>
            <w:pPr>
              <w:spacing w:after="40"/>
            </w:pPr>
            <w:r>
              <w:rPr>
                <w:rFonts w:ascii="Arial" w:cs="Arial" w:eastAsia="Arial" w:hAnsi="Arial"/>
                <w:b/>
                <w:bCs/>
                <w:color w:val="FFFFFF"/>
              </w:rPr>
              <w:t xml:space="preserve">Rubrique</w:t>
            </w:r>
          </w:p>
        </w:tc>
        <w:tc>
          <w:tcPr>
            <w:tcW w:type="dxa" w:w="7038"/>
            <w:shd w:fill="1F3A5F" w:color="auto" w:val="clear"/>
            <w:tcMar>
              <w:top w:type="dxa" w:w="60"/>
              <w:left w:type="dxa" w:w="90"/>
              <w:bottom w:type="dxa" w:w="60"/>
              <w:right w:type="dxa" w:w="90"/>
            </w:tcMar>
          </w:tcPr>
          <w:p>
            <w:pPr>
              <w:spacing w:after="40"/>
            </w:pPr>
            <w:r>
              <w:rPr>
                <w:rFonts w:ascii="Arial" w:cs="Arial" w:eastAsia="Arial" w:hAnsi="Arial"/>
                <w:b/>
                <w:bCs/>
                <w:color w:val="FFFFFF"/>
              </w:rPr>
              <w:t xml:space="preserve">Information</w:t>
            </w:r>
          </w:p>
        </w:tc>
      </w:tr>
      <w:tr>
        <w:trPr>
          <w:cantSplit/>
        </w:trPr>
        <w:tc>
          <w:tcPr>
            <w:tcW w:type="dxa" w:w="2600"/>
            <w:tcMar>
              <w:top w:type="dxa" w:w="60"/>
              <w:left w:type="dxa" w:w="90"/>
              <w:bottom w:type="dxa" w:w="60"/>
              <w:right w:type="dxa" w:w="90"/>
            </w:tcMar>
          </w:tcPr>
          <w:p>
            <w:pPr>
              <w:spacing w:after="40"/>
            </w:pPr>
            <w:r>
              <w:rPr>
                <w:rFonts w:ascii="Arial" w:cs="Arial" w:eastAsia="Arial" w:hAnsi="Arial"/>
              </w:rPr>
              <w:t xml:space="preserve">Destinataire</w:t>
            </w:r>
          </w:p>
        </w:tc>
        <w:tc>
          <w:tcPr>
            <w:tcW w:type="dxa" w:w="7038"/>
            <w:tcMar>
              <w:top w:type="dxa" w:w="60"/>
              <w:left w:type="dxa" w:w="90"/>
              <w:bottom w:type="dxa" w:w="60"/>
              <w:right w:type="dxa" w:w="90"/>
            </w:tcMar>
          </w:tcPr>
          <w:p>
            <w:pPr>
              <w:spacing w:after="40"/>
            </w:pPr>
            <w:r>
              <w:rPr>
                <w:rFonts w:ascii="Arial" w:cs="Arial" w:eastAsia="Arial" w:hAnsi="Arial"/>
              </w:rPr>
              <w:t xml:space="preserve">DEETS La Réunion — Service de contrôle de la formation professionnelle</w:t>
            </w:r>
          </w:p>
        </w:tc>
      </w:tr>
      <w:tr>
        <w:trPr>
          <w:cantSplit/>
        </w:trPr>
        <w:tc>
          <w:tcPr>
            <w:tcW w:type="dxa" w:w="2600"/>
            <w:shd w:fill="EAF0F6" w:color="auto" w:val="clear"/>
            <w:tcMar>
              <w:top w:type="dxa" w:w="60"/>
              <w:left w:type="dxa" w:w="90"/>
              <w:bottom w:type="dxa" w:w="60"/>
              <w:right w:type="dxa" w:w="90"/>
            </w:tcMar>
          </w:tcPr>
          <w:p>
            <w:pPr>
              <w:spacing w:after="40"/>
            </w:pPr>
            <w:r>
              <w:rPr>
                <w:rFonts w:ascii="Arial" w:cs="Arial" w:eastAsia="Arial" w:hAnsi="Arial"/>
              </w:rPr>
              <w:t xml:space="preserve">Référence</w:t>
            </w:r>
          </w:p>
        </w:tc>
        <w:tc>
          <w:tcPr>
            <w:tcW w:type="dxa" w:w="7038"/>
            <w:shd w:fill="EAF0F6" w:color="auto" w:val="clear"/>
            <w:tcMar>
              <w:top w:type="dxa" w:w="60"/>
              <w:left w:type="dxa" w:w="90"/>
              <w:bottom w:type="dxa" w:w="60"/>
              <w:right w:type="dxa" w:w="90"/>
            </w:tcMar>
          </w:tcPr>
          <w:p>
            <w:pPr>
              <w:spacing w:after="40"/>
            </w:pPr>
            <w:r>
              <w:rPr>
                <w:rFonts w:ascii="Arial" w:cs="Arial" w:eastAsia="Arial" w:hAnsi="Arial"/>
              </w:rPr>
              <w:t xml:space="preserve">Courriel de la DEETS du 20 octobre 2026 — instruction au titre de l’article L.6351-5 du Code du travail</w:t>
            </w:r>
          </w:p>
        </w:tc>
      </w:tr>
      <w:tr>
        <w:trPr>
          <w:cantSplit/>
        </w:trPr>
        <w:tc>
          <w:tcPr>
            <w:tcW w:type="dxa" w:w="2600"/>
            <w:tcMar>
              <w:top w:type="dxa" w:w="60"/>
              <w:left w:type="dxa" w:w="90"/>
              <w:bottom w:type="dxa" w:w="60"/>
              <w:right w:type="dxa" w:w="90"/>
            </w:tcMar>
          </w:tcPr>
          <w:p>
            <w:pPr>
              <w:spacing w:after="40"/>
            </w:pPr>
            <w:r>
              <w:rPr>
                <w:rFonts w:ascii="Arial" w:cs="Arial" w:eastAsia="Arial" w:hAnsi="Arial"/>
              </w:rPr>
              <w:t xml:space="preserve">Objet de la pièce</w:t>
            </w:r>
          </w:p>
        </w:tc>
        <w:tc>
          <w:tcPr>
            <w:tcW w:type="dxa" w:w="7038"/>
            <w:tcMar>
              <w:top w:type="dxa" w:w="60"/>
              <w:left w:type="dxa" w:w="90"/>
              <w:bottom w:type="dxa" w:w="60"/>
              <w:right w:type="dxa" w:w="90"/>
            </w:tcMar>
          </w:tcPr>
          <w:p>
            <w:pPr>
              <w:spacing w:after="40"/>
            </w:pPr>
            <w:r>
              <w:rPr>
                <w:rFonts w:ascii="Arial" w:cs="Arial" w:eastAsia="Arial" w:hAnsi="Arial"/>
              </w:rPr>
              <w:t xml:space="preserve">Actions de sensibilisation et d’orientation des apprentis vers l’entrepreneuriat.</w:t>
            </w:r>
          </w:p>
        </w:tc>
      </w:tr>
      <w:tr>
        <w:trPr>
          <w:cantSplit/>
        </w:trPr>
        <w:tc>
          <w:tcPr>
            <w:tcW w:type="dxa" w:w="2600"/>
            <w:shd w:fill="EAF0F6" w:color="auto" w:val="clear"/>
            <w:tcMar>
              <w:top w:type="dxa" w:w="60"/>
              <w:left w:type="dxa" w:w="90"/>
              <w:bottom w:type="dxa" w:w="60"/>
              <w:right w:type="dxa" w:w="90"/>
            </w:tcMar>
          </w:tcPr>
          <w:p>
            <w:pPr>
              <w:spacing w:after="40"/>
            </w:pPr>
            <w:r>
              <w:rPr>
                <w:rFonts w:ascii="Arial" w:cs="Arial" w:eastAsia="Arial" w:hAnsi="Arial"/>
              </w:rPr>
              <w:t xml:space="preserve">Organisme</w:t>
            </w:r>
          </w:p>
        </w:tc>
        <w:tc>
          <w:tcPr>
            <w:tcW w:type="dxa" w:w="7038"/>
            <w:shd w:fill="EAF0F6" w:color="auto" w:val="clear"/>
            <w:tcMar>
              <w:top w:type="dxa" w:w="60"/>
              <w:left w:type="dxa" w:w="90"/>
              <w:bottom w:type="dxa" w:w="60"/>
              <w:right w:type="dxa" w:w="90"/>
            </w:tcMar>
          </w:tcPr>
          <w:p>
            <w:pPr>
              <w:spacing w:after="40"/>
            </w:pPr>
            <w:r>
              <w:rPr>
                <w:rFonts w:ascii="Arial" w:cs="Arial" w:eastAsia="Arial" w:hAnsi="Arial"/>
              </w:rPr>
              <w:t xml:space="preserve">YEBA FORMATIONS — SIRET 814 622 262 00032 — NDA 04973676397</w:t>
            </w:r>
          </w:p>
        </w:tc>
      </w:tr>
      <w:tr>
        <w:trPr>
          <w:cantSplit/>
        </w:trPr>
        <w:tc>
          <w:tcPr>
            <w:tcW w:type="dxa" w:w="2600"/>
            <w:tcMar>
              <w:top w:type="dxa" w:w="60"/>
              <w:left w:type="dxa" w:w="90"/>
              <w:bottom w:type="dxa" w:w="60"/>
              <w:right w:type="dxa" w:w="90"/>
            </w:tcMar>
          </w:tcPr>
          <w:p>
            <w:pPr>
              <w:spacing w:after="40"/>
            </w:pPr>
            <w:r>
              <w:rPr>
                <w:rFonts w:ascii="Arial" w:cs="Arial" w:eastAsia="Arial" w:hAnsi="Arial"/>
              </w:rPr>
              <w:t xml:space="preserve">Certification Qualiopi</w:t>
            </w:r>
          </w:p>
        </w:tc>
        <w:tc>
          <w:tcPr>
            <w:tcW w:type="dxa" w:w="7038"/>
            <w:tcMar>
              <w:top w:type="dxa" w:w="60"/>
              <w:left w:type="dxa" w:w="90"/>
              <w:bottom w:type="dxa" w:w="60"/>
              <w:right w:type="dxa" w:w="90"/>
            </w:tcMar>
          </w:tcPr>
          <w:p>
            <w:pPr>
              <w:spacing w:after="40"/>
            </w:pPr>
            <w:r>
              <w:rPr>
                <w:rFonts w:ascii="Arial" w:cs="Arial" w:eastAsia="Arial" w:hAnsi="Arial"/>
              </w:rPr>
              <w:t xml:space="preserve">n° 25FOR02027.1 — </w:t>
            </w:r>
            <w:r>
              <w:rPr>
                <w:rFonts w:ascii="Arial" w:cs="Arial" w:eastAsia="Arial" w:hAnsi="Arial"/>
                <w:b/>
                <w:bCs/>
                <w:highlight w:val="yellow"/>
                <w:highlightCs w:val="yellow"/>
              </w:rPr>
              <w:t xml:space="preserve">[préciser si la catégorie « actions de formation par apprentissage » est déjà couverte ou en cours d’extension]</w:t>
            </w:r>
          </w:p>
        </w:tc>
      </w:tr>
      <w:tr>
        <w:trPr>
          <w:cantSplit/>
        </w:trPr>
        <w:tc>
          <w:tcPr>
            <w:tcW w:type="dxa" w:w="2600"/>
            <w:shd w:fill="EAF0F6" w:color="auto" w:val="clear"/>
            <w:tcMar>
              <w:top w:type="dxa" w:w="60"/>
              <w:left w:type="dxa" w:w="90"/>
              <w:bottom w:type="dxa" w:w="60"/>
              <w:right w:type="dxa" w:w="90"/>
            </w:tcMar>
          </w:tcPr>
          <w:p>
            <w:pPr>
              <w:spacing w:after="40"/>
            </w:pPr>
            <w:r>
              <w:rPr>
                <w:rFonts w:ascii="Arial" w:cs="Arial" w:eastAsia="Arial" w:hAnsi="Arial"/>
              </w:rPr>
              <w:t xml:space="preserve">Responsable</w:t>
            </w:r>
          </w:p>
        </w:tc>
        <w:tc>
          <w:tcPr>
            <w:tcW w:type="dxa" w:w="7038"/>
            <w:shd w:fill="EAF0F6" w:color="auto" w:val="clear"/>
            <w:tcMar>
              <w:top w:type="dxa" w:w="60"/>
              <w:left w:type="dxa" w:w="90"/>
              <w:bottom w:type="dxa" w:w="60"/>
              <w:right w:type="dxa" w:w="90"/>
            </w:tcMar>
          </w:tcPr>
          <w:p>
            <w:pPr>
              <w:spacing w:after="40"/>
            </w:pPr>
            <w:r>
              <w:rPr>
                <w:rFonts w:ascii="Arial" w:cs="Arial" w:eastAsia="Arial" w:hAnsi="Arial"/>
              </w:rPr>
              <w:t xml:space="preserve">Aurélien LUMEKA, Directeur</w:t>
            </w:r>
          </w:p>
        </w:tc>
      </w:tr>
      <w:tr>
        <w:trPr>
          <w:cantSplit/>
        </w:trPr>
        <w:tc>
          <w:tcPr>
            <w:tcW w:type="dxa" w:w="2600"/>
            <w:tcMar>
              <w:top w:type="dxa" w:w="60"/>
              <w:left w:type="dxa" w:w="90"/>
              <w:bottom w:type="dxa" w:w="60"/>
              <w:right w:type="dxa" w:w="90"/>
            </w:tcMar>
          </w:tcPr>
          <w:p>
            <w:pPr>
              <w:spacing w:after="40"/>
            </w:pPr>
            <w:r>
              <w:rPr>
                <w:rFonts w:ascii="Arial" w:cs="Arial" w:eastAsia="Arial" w:hAnsi="Arial"/>
              </w:rPr>
              <w:t xml:space="preserve">Version</w:t>
            </w:r>
          </w:p>
        </w:tc>
        <w:tc>
          <w:tcPr>
            <w:tcW w:type="dxa" w:w="7038"/>
            <w:tcMar>
              <w:top w:type="dxa" w:w="60"/>
              <w:left w:type="dxa" w:w="90"/>
              <w:bottom w:type="dxa" w:w="60"/>
              <w:right w:type="dxa" w:w="90"/>
            </w:tcMar>
          </w:tcPr>
          <w:p>
            <w:pPr>
              <w:spacing w:after="40"/>
            </w:pPr>
            <w:r>
              <w:rPr>
                <w:rFonts w:ascii="Arial" w:cs="Arial" w:eastAsia="Arial" w:hAnsi="Arial"/>
              </w:rPr>
              <w:t xml:space="preserve">Version 1 du 28/10/2026</w:t>
            </w:r>
          </w:p>
        </w:tc>
      </w:tr>
    </w:tbl>
    <w:p>
      <w:pPr>
        <w:spacing w:after="80"/>
      </w:pPr>
    </w:p>
    <w:p>
      <w:pPr>
        <w:pStyle w:val="Heading1"/>
        <w:keepNext/>
        <w:spacing w:after="140" w:before="300"/>
      </w:pPr>
      <w:r>
        <w:rPr>
          <w:rFonts w:ascii="Arial" w:cs="Arial" w:eastAsia="Arial" w:hAnsi="Arial"/>
        </w:rPr>
        <w:t xml:space="preserve">1. Pourquoi c’est pertinent pour nos apprentis</w:t>
      </w:r>
    </w:p>
    <w:p>
      <w:pPr>
        <w:spacing w:after="120" w:line="288"/>
        <w:jc w:val="both"/>
      </w:pPr>
      <w:r>
        <w:rPr>
          <w:rFonts w:ascii="Arial" w:cs="Arial" w:eastAsia="Arial" w:hAnsi="Arial"/>
        </w:rPr>
        <w:t xml:space="preserve">Les métiers de la vente, de la négociation et du management sont des tremplins naturels vers l’entrepreneuriat. À La Réunion, de nombreuses TPE devront par ailleurs trouver un repreneur dans les années à venir (</w:t>
      </w:r>
      <w:r>
        <w:rPr>
          <w:rFonts w:ascii="Arial" w:cs="Arial" w:eastAsia="Arial" w:hAnsi="Arial"/>
          <w:b/>
          <w:bCs/>
          <w:highlight w:val="yellow"/>
          <w:highlightCs w:val="yellow"/>
        </w:rPr>
        <w:t xml:space="preserve">[donnée chiffrée CCI Réunion / INSEE à insérer si disponible]</w:t>
      </w:r>
      <w:r>
        <w:rPr>
          <w:rFonts w:ascii="Arial" w:cs="Arial" w:eastAsia="Arial" w:hAnsi="Arial"/>
        </w:rPr>
        <w:t xml:space="preserve">). Le dirigeant de YEBA FORMATIONS, lui-même créateur de son entreprise en 2021, témoigne de ce parcours.</w:t>
      </w:r>
    </w:p>
    <w:p>
      <w:pPr>
        <w:pStyle w:val="Heading1"/>
        <w:keepNext/>
        <w:spacing w:after="140" w:before="300"/>
      </w:pPr>
      <w:r>
        <w:rPr>
          <w:rFonts w:ascii="Arial" w:cs="Arial" w:eastAsia="Arial" w:hAnsi="Arial"/>
        </w:rPr>
        <w:t xml:space="preserve">2. Programme de sensibilisation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4800"/>
        <w:gridCol w:w="2238"/>
      </w:tblGrid>
      <w:tr>
        <w:trPr>
          <w:tblHeader/>
        </w:trPr>
        <w:tc>
          <w:tcPr>
            <w:tcW w:type="dxa" w:w="2600"/>
            <w:shd w:fill="1F3A5F" w:color="auto" w:val="clear"/>
            <w:tcMar>
              <w:top w:type="dxa" w:w="60"/>
              <w:left w:type="dxa" w:w="90"/>
              <w:bottom w:type="dxa" w:w="60"/>
              <w:right w:type="dxa" w:w="90"/>
            </w:tcMar>
          </w:tcPr>
          <w:p>
            <w:pPr>
              <w:spacing w:after="40"/>
            </w:pPr>
            <w:r>
              <w:rPr>
                <w:rFonts w:ascii="Arial" w:cs="Arial" w:eastAsia="Arial" w:hAnsi="Arial"/>
                <w:b/>
                <w:bCs/>
                <w:color w:val="FFFFFF"/>
              </w:rPr>
              <w:t xml:space="preserve">Action</w:t>
            </w:r>
          </w:p>
        </w:tc>
        <w:tc>
          <w:tcPr>
            <w:tcW w:type="dxa" w:w="4800"/>
            <w:shd w:fill="1F3A5F" w:color="auto" w:val="clear"/>
            <w:tcMar>
              <w:top w:type="dxa" w:w="60"/>
              <w:left w:type="dxa" w:w="90"/>
              <w:bottom w:type="dxa" w:w="60"/>
              <w:right w:type="dxa" w:w="90"/>
            </w:tcMar>
          </w:tcPr>
          <w:p>
            <w:pPr>
              <w:spacing w:after="40"/>
            </w:pPr>
            <w:r>
              <w:rPr>
                <w:rFonts w:ascii="Arial" w:cs="Arial" w:eastAsia="Arial" w:hAnsi="Arial"/>
                <w:b/>
                <w:bCs/>
                <w:color w:val="FFFFFF"/>
              </w:rPr>
              <w:t xml:space="preserve">Contenu</w:t>
            </w:r>
          </w:p>
        </w:tc>
        <w:tc>
          <w:tcPr>
            <w:tcW w:type="dxa" w:w="2238"/>
            <w:shd w:fill="1F3A5F" w:color="auto" w:val="clear"/>
            <w:tcMar>
              <w:top w:type="dxa" w:w="60"/>
              <w:left w:type="dxa" w:w="90"/>
              <w:bottom w:type="dxa" w:w="60"/>
              <w:right w:type="dxa" w:w="90"/>
            </w:tcMar>
          </w:tcPr>
          <w:p>
            <w:pPr>
              <w:spacing w:after="40"/>
            </w:pPr>
            <w:r>
              <w:rPr>
                <w:rFonts w:ascii="Arial" w:cs="Arial" w:eastAsia="Arial" w:hAnsi="Arial"/>
                <w:b/>
                <w:bCs/>
                <w:color w:val="FFFFFF"/>
              </w:rPr>
              <w:t xml:space="preserve">Durée / moment</w:t>
            </w:r>
          </w:p>
        </w:tc>
      </w:tr>
      <w:tr>
        <w:trPr>
          <w:cantSplit/>
        </w:trPr>
        <w:tc>
          <w:tcPr>
            <w:tcW w:type="dxa" w:w="2600"/>
            <w:tcMar>
              <w:top w:type="dxa" w:w="60"/>
              <w:left w:type="dxa" w:w="90"/>
              <w:bottom w:type="dxa" w:w="60"/>
              <w:right w:type="dxa" w:w="90"/>
            </w:tcMar>
          </w:tcPr>
          <w:p>
            <w:pPr>
              <w:spacing w:after="40"/>
            </w:pPr>
            <w:r>
              <w:rPr>
                <w:rFonts w:ascii="Arial" w:cs="Arial" w:eastAsia="Arial" w:hAnsi="Arial"/>
              </w:rPr>
              <w:t xml:space="preserve">Module « Esprit d’entreprendre »</w:t>
            </w:r>
          </w:p>
        </w:tc>
        <w:tc>
          <w:tcPr>
            <w:tcW w:type="dxa" w:w="4800"/>
            <w:tcMar>
              <w:top w:type="dxa" w:w="60"/>
              <w:left w:type="dxa" w:w="90"/>
              <w:bottom w:type="dxa" w:w="60"/>
              <w:right w:type="dxa" w:w="90"/>
            </w:tcMar>
          </w:tcPr>
          <w:p>
            <w:pPr>
              <w:spacing w:after="40"/>
            </w:pPr>
            <w:r>
              <w:rPr>
                <w:rFonts w:ascii="Arial" w:cs="Arial" w:eastAsia="Arial" w:hAnsi="Arial"/>
              </w:rPr>
              <w:t xml:space="preserve">Du projet à l’entreprise : idée, client, offre, prix, statut juridique, premières démarches ; intégré au cursus</w:t>
            </w:r>
          </w:p>
        </w:tc>
        <w:tc>
          <w:tcPr>
            <w:tcW w:type="dxa" w:w="2238"/>
            <w:tcMar>
              <w:top w:type="dxa" w:w="60"/>
              <w:left w:type="dxa" w:w="90"/>
              <w:bottom w:type="dxa" w:w="60"/>
              <w:right w:type="dxa" w:w="90"/>
            </w:tcMar>
          </w:tcPr>
          <w:p>
            <w:pPr>
              <w:spacing w:after="40"/>
            </w:pPr>
            <w:r>
              <w:rPr>
                <w:rFonts w:ascii="Arial" w:cs="Arial" w:eastAsia="Arial" w:hAnsi="Arial"/>
              </w:rPr>
              <w:t xml:space="preserve">7 heures, deuxième moitié de la formation</w:t>
            </w:r>
          </w:p>
        </w:tc>
      </w:tr>
      <w:tr>
        <w:trPr>
          <w:cantSplit/>
        </w:trPr>
        <w:tc>
          <w:tcPr>
            <w:tcW w:type="dxa" w:w="2600"/>
            <w:shd w:fill="EAF0F6" w:color="auto" w:val="clear"/>
            <w:tcMar>
              <w:top w:type="dxa" w:w="60"/>
              <w:left w:type="dxa" w:w="90"/>
              <w:bottom w:type="dxa" w:w="60"/>
              <w:right w:type="dxa" w:w="90"/>
            </w:tcMar>
          </w:tcPr>
          <w:p>
            <w:pPr>
              <w:spacing w:after="40"/>
            </w:pPr>
            <w:r>
              <w:rPr>
                <w:rFonts w:ascii="Arial" w:cs="Arial" w:eastAsia="Arial" w:hAnsi="Arial"/>
              </w:rPr>
              <w:t xml:space="preserve">Défi « Mon projet en 48 heures »</w:t>
            </w:r>
          </w:p>
        </w:tc>
        <w:tc>
          <w:tcPr>
            <w:tcW w:type="dxa" w:w="4800"/>
            <w:shd w:fill="EAF0F6" w:color="auto" w:val="clear"/>
            <w:tcMar>
              <w:top w:type="dxa" w:w="60"/>
              <w:left w:type="dxa" w:w="90"/>
              <w:bottom w:type="dxa" w:w="60"/>
              <w:right w:type="dxa" w:w="90"/>
            </w:tcMar>
          </w:tcPr>
          <w:p>
            <w:pPr>
              <w:spacing w:after="40"/>
            </w:pPr>
            <w:r>
              <w:rPr>
                <w:rFonts w:ascii="Arial" w:cs="Arial" w:eastAsia="Arial" w:hAnsi="Arial"/>
              </w:rPr>
              <w:t xml:space="preserve">Par équipes, construction d’un mini-projet (offre, cible, pitch) présenté devant un jury de chefs d’entreprise</w:t>
            </w:r>
          </w:p>
        </w:tc>
        <w:tc>
          <w:tcPr>
            <w:tcW w:type="dxa" w:w="2238"/>
            <w:shd w:fill="EAF0F6" w:color="auto" w:val="clear"/>
            <w:tcMar>
              <w:top w:type="dxa" w:w="60"/>
              <w:left w:type="dxa" w:w="90"/>
              <w:bottom w:type="dxa" w:w="60"/>
              <w:right w:type="dxa" w:w="90"/>
            </w:tcMar>
          </w:tcPr>
          <w:p>
            <w:pPr>
              <w:spacing w:after="40"/>
            </w:pPr>
            <w:r>
              <w:rPr>
                <w:rFonts w:ascii="Arial" w:cs="Arial" w:eastAsia="Arial" w:hAnsi="Arial"/>
              </w:rPr>
              <w:t xml:space="preserve">2 jours, une fois par an</w:t>
            </w:r>
          </w:p>
        </w:tc>
      </w:tr>
      <w:tr>
        <w:trPr>
          <w:cantSplit/>
        </w:trPr>
        <w:tc>
          <w:tcPr>
            <w:tcW w:type="dxa" w:w="2600"/>
            <w:tcMar>
              <w:top w:type="dxa" w:w="60"/>
              <w:left w:type="dxa" w:w="90"/>
              <w:bottom w:type="dxa" w:w="60"/>
              <w:right w:type="dxa" w:w="90"/>
            </w:tcMar>
          </w:tcPr>
          <w:p>
            <w:pPr>
              <w:spacing w:after="40"/>
            </w:pPr>
            <w:r>
              <w:rPr>
                <w:rFonts w:ascii="Arial" w:cs="Arial" w:eastAsia="Arial" w:hAnsi="Arial"/>
              </w:rPr>
              <w:t xml:space="preserve">Témoignages</w:t>
            </w:r>
          </w:p>
        </w:tc>
        <w:tc>
          <w:tcPr>
            <w:tcW w:type="dxa" w:w="4800"/>
            <w:tcMar>
              <w:top w:type="dxa" w:w="60"/>
              <w:left w:type="dxa" w:w="90"/>
              <w:bottom w:type="dxa" w:w="60"/>
              <w:right w:type="dxa" w:w="90"/>
            </w:tcMar>
          </w:tcPr>
          <w:p>
            <w:pPr>
              <w:spacing w:after="40"/>
            </w:pPr>
            <w:r>
              <w:rPr>
                <w:rFonts w:ascii="Arial" w:cs="Arial" w:eastAsia="Arial" w:hAnsi="Arial"/>
              </w:rPr>
              <w:t xml:space="preserve">Créateurs et repreneurs réunionnais, dont d’anciens apprentis à terme</w:t>
            </w:r>
          </w:p>
        </w:tc>
        <w:tc>
          <w:tcPr>
            <w:tcW w:type="dxa" w:w="2238"/>
            <w:tcMar>
              <w:top w:type="dxa" w:w="60"/>
              <w:left w:type="dxa" w:w="90"/>
              <w:bottom w:type="dxa" w:w="60"/>
              <w:right w:type="dxa" w:w="90"/>
            </w:tcMar>
          </w:tcPr>
          <w:p>
            <w:pPr>
              <w:spacing w:after="40"/>
            </w:pPr>
            <w:r>
              <w:rPr>
                <w:rFonts w:ascii="Arial" w:cs="Arial" w:eastAsia="Arial" w:hAnsi="Arial"/>
              </w:rPr>
              <w:t xml:space="preserve">1 à 2 rencontres par an</w:t>
            </w:r>
          </w:p>
        </w:tc>
      </w:tr>
      <w:tr>
        <w:trPr>
          <w:cantSplit/>
        </w:trPr>
        <w:tc>
          <w:tcPr>
            <w:tcW w:type="dxa" w:w="2600"/>
            <w:shd w:fill="EAF0F6" w:color="auto" w:val="clear"/>
            <w:tcMar>
              <w:top w:type="dxa" w:w="60"/>
              <w:left w:type="dxa" w:w="90"/>
              <w:bottom w:type="dxa" w:w="60"/>
              <w:right w:type="dxa" w:w="90"/>
            </w:tcMar>
          </w:tcPr>
          <w:p>
            <w:pPr>
              <w:spacing w:after="40"/>
            </w:pPr>
            <w:r>
              <w:rPr>
                <w:rFonts w:ascii="Arial" w:cs="Arial" w:eastAsia="Arial" w:hAnsi="Arial"/>
              </w:rPr>
              <w:t xml:space="preserve">Orientation individuelle</w:t>
            </w:r>
          </w:p>
        </w:tc>
        <w:tc>
          <w:tcPr>
            <w:tcW w:type="dxa" w:w="4800"/>
            <w:shd w:fill="EAF0F6" w:color="auto" w:val="clear"/>
            <w:tcMar>
              <w:top w:type="dxa" w:w="60"/>
              <w:left w:type="dxa" w:w="90"/>
              <w:bottom w:type="dxa" w:w="60"/>
              <w:right w:type="dxa" w:w="90"/>
            </w:tcMar>
          </w:tcPr>
          <w:p>
            <w:pPr>
              <w:spacing w:after="40"/>
            </w:pPr>
            <w:r>
              <w:rPr>
                <w:rFonts w:ascii="Arial" w:cs="Arial" w:eastAsia="Arial" w:hAnsi="Arial"/>
              </w:rPr>
              <w:t xml:space="preserve">Mise en relation avec les réseaux d’accompagnement à la création et à la reprise</w:t>
            </w:r>
          </w:p>
        </w:tc>
        <w:tc>
          <w:tcPr>
            <w:tcW w:type="dxa" w:w="2238"/>
            <w:shd w:fill="EAF0F6" w:color="auto" w:val="clear"/>
            <w:tcMar>
              <w:top w:type="dxa" w:w="60"/>
              <w:left w:type="dxa" w:w="90"/>
              <w:bottom w:type="dxa" w:w="60"/>
              <w:right w:type="dxa" w:w="90"/>
            </w:tcMar>
          </w:tcPr>
          <w:p>
            <w:pPr>
              <w:spacing w:after="40"/>
            </w:pPr>
            <w:r>
              <w:rPr>
                <w:rFonts w:ascii="Arial" w:cs="Arial" w:eastAsia="Arial" w:hAnsi="Arial"/>
              </w:rPr>
              <w:t xml:space="preserve">Sur demande</w:t>
            </w:r>
          </w:p>
        </w:tc>
      </w:tr>
    </w:tbl>
    <w:p>
      <w:pPr>
        <w:spacing w:after="80"/>
      </w:pPr>
    </w:p>
    <w:p>
      <w:pPr>
        <w:pStyle w:val="Heading1"/>
        <w:keepNext/>
        <w:spacing w:after="140" w:before="300"/>
      </w:pPr>
      <w:r>
        <w:rPr>
          <w:rFonts w:ascii="Arial" w:cs="Arial" w:eastAsia="Arial" w:hAnsi="Arial"/>
        </w:rPr>
        <w:t xml:space="preserve">3. Réseaux d’accompagnement sollicités</w:t>
      </w:r>
    </w:p>
    <w:p>
      <w:pPr>
        <w:spacing w:after="120" w:line="288"/>
        <w:jc w:val="both"/>
      </w:pPr>
      <w:r>
        <w:rPr>
          <w:rFonts w:ascii="Arial" w:cs="Arial" w:eastAsia="Arial" w:hAnsi="Arial"/>
        </w:rPr>
        <w:t xml:space="preserve">CCI Réunion et Chambre de métiers et de l’artisanat (parcours création et reprise), réseaux de prêt d’honneur et de financement de la création (Initiative France, Réseau Entreprendre, Adie, BPI), France Travail pour les demandeurs d’emploi créateurs. </w:t>
      </w:r>
      <w:r>
        <w:rPr>
          <w:rFonts w:ascii="Arial" w:cs="Arial" w:eastAsia="Arial" w:hAnsi="Arial"/>
          <w:b/>
          <w:bCs/>
          <w:highlight w:val="yellow"/>
          <w:highlightCs w:val="yellow"/>
        </w:rPr>
        <w:t xml:space="preserve">[État des contacts : à préciser — aucun partenariat ne doit être présenté comme signé s’il ne l’est pas]</w:t>
      </w:r>
      <w:r>
        <w:rPr>
          <w:rFonts w:ascii="Arial" w:cs="Arial" w:eastAsia="Arial" w:hAnsi="Arial"/>
        </w:rPr>
        <w:t xml:space="preserve">.</w:t>
      </w:r>
    </w:p>
    <w:tbl>
      <w:tblPr>
        <w:tblW w:type="dxa" w:w="9638"/>
        <w:tblBorders>
          <w:top w:val="none" w:color="FFFFFF" w:sz="0"/>
          <w:left w:val="single" w:color="1F3A5F" w:sz="12"/>
          <w:bottom w:val="none" w:color="FFFFFF" w:sz="0"/>
          <w:right w:val="none" w:color="FFFFFF" w:sz="0"/>
          <w:insideH w:val="none" w:color="FFFFFF" w:sz="0"/>
          <w:insideV w:val="none" w:color="FFFFFF" w:sz="0"/>
        </w:tblBorders>
      </w:tblPr>
      <w:tblGrid>
        <w:gridCol w:w="9638"/>
      </w:tblGrid>
      <w:tr>
        <w:tc>
          <w:tcPr>
            <w:tcW w:type="dxa" w:w="9638"/>
            <w:shd w:fill="EAF0F6" w:color="auto" w:val="clear"/>
            <w:tcMar>
              <w:top w:type="dxa" w:w="100"/>
              <w:left w:type="dxa" w:w="160"/>
              <w:bottom w:type="dxa" w:w="100"/>
              <w:right w:type="dxa" w:w="120"/>
            </w:tcMar>
          </w:tcPr>
          <w:p>
            <w:pPr>
              <w:spacing w:after="60"/>
            </w:pPr>
            <w:r>
              <w:rPr>
                <w:rFonts w:ascii="Arial" w:cs="Arial" w:eastAsia="Arial" w:hAnsi="Arial"/>
                <w:b/>
                <w:bCs/>
                <w:color w:val="1F3A5F"/>
              </w:rPr>
              <w:t xml:space="preserve">Conformité RGPD / IA Act</w:t>
            </w:r>
          </w:p>
          <w:p>
            <w:pPr>
              <w:spacing w:after="50"/>
            </w:pPr>
            <w:r>
              <w:rPr>
                <w:rFonts w:ascii="Arial" w:cs="Arial" w:eastAsia="Arial" w:hAnsi="Arial"/>
                <w:b/>
                <w:bCs/>
              </w:rPr>
              <w:t xml:space="preserve">RGPD</w:t>
            </w:r>
            <w:r>
              <w:rPr>
                <w:rFonts w:ascii="Arial" w:cs="Arial" w:eastAsia="Arial" w:hAnsi="Arial"/>
              </w:rPr>
              <w:t xml:space="preserve"> — La mise en relation avec un réseau d’accompagnement se fait à l’initiative de l’apprenti ou avec son accord explicite.</w:t>
            </w:r>
          </w:p>
        </w:tc>
      </w:tr>
    </w:tbl>
    <w:p>
      <w:pPr>
        <w:spacing w:after="80"/>
      </w:pPr>
    </w:p>
    <w:p>
      <w:pPr>
        <w:spacing w:after="80"/>
      </w:pPr>
    </w:p>
    <w:p>
      <w:pPr>
        <w:spacing w:after="120" w:line="288"/>
        <w:jc w:val="left"/>
      </w:pPr>
      <w:r>
        <w:rPr>
          <w:rFonts w:ascii="Arial" w:cs="Arial" w:eastAsia="Arial" w:hAnsi="Arial"/>
        </w:rPr>
        <w:t xml:space="preserve">Fait à </w:t>
      </w:r>
      <w:r>
        <w:rPr>
          <w:rFonts w:ascii="Arial" w:cs="Arial" w:eastAsia="Arial" w:hAnsi="Arial"/>
          <w:b/>
          <w:bCs/>
          <w:highlight w:val="yellow"/>
          <w:highlightCs w:val="yellow"/>
        </w:rPr>
        <w:t xml:space="preserve">[commune]</w:t>
      </w:r>
      <w:r>
        <w:rPr>
          <w:rFonts w:ascii="Arial" w:cs="Arial" w:eastAsia="Arial" w:hAnsi="Arial"/>
        </w:rPr>
        <w:t xml:space="preserve">, le </w:t>
      </w:r>
      <w:r>
        <w:rPr>
          <w:rFonts w:ascii="Arial" w:cs="Arial" w:eastAsia="Arial" w:hAnsi="Arial"/>
          <w:b/>
          <w:bCs/>
          <w:highlight w:val="yellow"/>
          <w:highlightCs w:val="yellow"/>
        </w:rPr>
        <w:t xml:space="preserve">[date d’envoi]</w:t>
      </w:r>
      <w:r>
        <w:rPr>
          <w:rFonts w:ascii="Arial" w:cs="Arial" w:eastAsia="Arial" w:hAnsi="Arial"/>
        </w:rPr>
        <w:t xml:space="preserve">.</w:t>
      </w:r>
    </w:p>
    <w:p>
      <w:pPr>
        <w:spacing w:after="120" w:line="288"/>
        <w:jc w:val="left"/>
      </w:pPr>
      <w:r>
        <w:rPr>
          <w:rFonts w:ascii="Arial" w:cs="Arial" w:eastAsia="Arial" w:hAnsi="Arial"/>
          <w:b/>
          <w:bCs/>
        </w:rPr>
        <w:t xml:space="preserve">Aurélien LUMEKA, Directeur de YEBA FORMATIONS</w:t>
      </w:r>
    </w:p>
    <w:p>
      <w:pPr>
        <w:spacing w:after="120" w:line="288"/>
        <w:jc w:val="left"/>
      </w:pPr>
      <w:r>
        <w:rPr>
          <w:rFonts w:ascii="Arial" w:cs="Arial" w:eastAsia="Arial" w:hAnsi="Arial"/>
        </w:rPr>
        <w:t xml:space="preserve">Signature et cachet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SIRET 814 622 262 00032 — NDA 04973676397 — Qualiopi 25FOR02027.1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YEBA FORMATIONS — Dossier apprentissage — Pièce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28"/>
      <w:szCs w:val="28"/>
    </w:rPr>
  </w:style>
  <w:style w:type="paragraph" w:styleId="Heading2">
    <w:name w:val="Heading 2"/>
    <w:basedOn w:val="Normal"/>
    <w:next w:val="Normal"/>
    <w:qFormat/>
    <w:pPr>
      <w:outlineLvl w:val="1"/>
    </w:pPr>
    <w:rPr>
      <w:rFonts w:ascii="Arial" w:cs="Arial" w:eastAsia="Arial" w:hAnsi="Arial"/>
      <w:b/>
      <w:bCs/>
      <w:color w:val="C869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Pièce 15 — État descriptif — Sensibilisation des apprentis à la création ou à la reprise d’entreprise</dc:title>
  <dc:creator>Aurélien LUMEKA</dc:creator>
  <cp:lastModifiedBy>Un-named</cp:lastModifiedBy>
  <cp:revision>1</cp:revision>
  <dcterms:created xsi:type="dcterms:W3CDTF">2026-10-28T12:04:48.692Z</dcterms:created>
  <dcterms:modified xsi:type="dcterms:W3CDTF">2026-10-28T12:04:48.692Z</dcterms:modified>
</cp:coreProperties>
</file>

<file path=docProps/custom.xml><?xml version="1.0" encoding="utf-8"?>
<Properties xmlns="http://schemas.openxmlformats.org/officeDocument/2006/custom-properties" xmlns:vt="http://schemas.openxmlformats.org/officeDocument/2006/docPropsVTypes"/>
</file>