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18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Emplois du temps prévisionnels par certification préparée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Rythme d’alternance, répartition des heures de formation et semaines types pour chaque titre ou diplôme préparé.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C8691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FF4E5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8691C"/>
              </w:rPr>
              <w:t xml:space="preserve">Hypothèses à confirmer avant envoi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</w:rPr>
              <w:t xml:space="preserve">Les certifications ci-dessous sont des </w:t>
            </w:r>
            <w:r>
              <w:rPr>
                <w:rFonts w:ascii="Arial" w:cs="Arial" w:eastAsia="Arial" w:hAnsi="Arial"/>
                <w:b/>
                <w:bCs/>
              </w:rPr>
              <w:t xml:space="preserve">hypothèses</w:t>
            </w:r>
            <w:r>
              <w:rPr>
                <w:rFonts w:ascii="Arial" w:cs="Arial" w:eastAsia="Arial" w:hAnsi="Arial"/>
              </w:rPr>
              <w:t xml:space="preserve"> cohérentes avec l’expertise de YEBA FORMATIONS (vente, négociation, management) :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[confirmer la liste des titres, leur code RNCP, leur certificateur et le statut de l’organisme vis-à-vis de ce certificateur]</w:t>
            </w:r>
            <w:r>
              <w:rPr>
                <w:rFonts w:ascii="Arial" w:cs="Arial" w:eastAsia="Arial" w:hAnsi="Arial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</w:rPr>
              <w:t xml:space="preserve">Intitulés des blocs de compétences (CCP) :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vérifier sur la fiche RNCP en vigueur sur francecompetences.fr]</w:t>
            </w:r>
            <w:r>
              <w:rPr>
                <w:rFonts w:ascii="Arial" w:cs="Arial" w:eastAsia="Arial" w:hAnsi="Arial"/>
              </w:rPr>
              <w:t xml:space="preserve">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</w:rPr>
              <w:t xml:space="preserve">Horaires :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[à confirmer]</w:t>
            </w:r>
            <w:r>
              <w:rPr>
                <w:rFonts w:ascii="Arial" w:cs="Arial" w:eastAsia="Arial" w:hAnsi="Arial"/>
              </w:rPr>
              <w:t xml:space="preserve"> — hypothèse de 7 heures par jour, pauses de 15 minutes le matin et l’après-midi incluses.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Règles communes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Durée du contrat retenue : </w:t>
      </w:r>
      <w:r>
        <w:rPr>
          <w:rFonts w:ascii="Arial" w:cs="Arial" w:eastAsia="Arial" w:hAnsi="Arial"/>
          <w:b/>
          <w:bCs/>
        </w:rPr>
        <w:t xml:space="preserve">12 mois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[à adapter si 24 mois]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 formation au CFA représente au moins </w:t>
      </w:r>
      <w:r>
        <w:rPr>
          <w:rFonts w:ascii="Arial" w:cs="Arial" w:eastAsia="Arial" w:hAnsi="Arial"/>
          <w:b/>
          <w:bCs/>
        </w:rPr>
        <w:t xml:space="preserve">25 % de la durée totale du contrat</w:t>
      </w:r>
      <w:r>
        <w:rPr>
          <w:rFonts w:ascii="Arial" w:cs="Arial" w:eastAsia="Arial" w:hAnsi="Arial"/>
        </w:rPr>
        <w:t xml:space="preserve"> (art. L.6211-2 du Code du travail). Sur 12 mois, la base légale annuelle de 1 607 heures conduit à un minimum d’environ 402 heures : nous retenons </w:t>
      </w:r>
      <w:r>
        <w:rPr>
          <w:rFonts w:ascii="Arial" w:cs="Arial" w:eastAsia="Arial" w:hAnsi="Arial"/>
          <w:b/>
          <w:bCs/>
        </w:rPr>
        <w:t xml:space="preserve">420 heures</w:t>
      </w:r>
      <w:r>
        <w:rPr>
          <w:rFonts w:ascii="Arial" w:cs="Arial" w:eastAsia="Arial" w:hAnsi="Arial"/>
        </w:rPr>
        <w:t xml:space="preserve">, soit </w:t>
      </w:r>
      <w:r>
        <w:rPr>
          <w:rFonts w:ascii="Arial" w:cs="Arial" w:eastAsia="Arial" w:hAnsi="Arial"/>
          <w:b/>
          <w:bCs/>
        </w:rPr>
        <w:t xml:space="preserve">12 semaines de 35 heures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Rythme : </w:t>
      </w:r>
      <w:r>
        <w:rPr>
          <w:rFonts w:ascii="Arial" w:cs="Arial" w:eastAsia="Arial" w:hAnsi="Arial"/>
          <w:b/>
          <w:bCs/>
        </w:rPr>
        <w:t xml:space="preserve">1 semaine au CFA / 3 semaines en entreprise</w:t>
      </w:r>
      <w:r>
        <w:rPr>
          <w:rFonts w:ascii="Arial" w:cs="Arial" w:eastAsia="Arial" w:hAnsi="Arial"/>
        </w:rPr>
        <w:t xml:space="preserve">. Ce rythme limite les déplacements entre micro-régions, facilite l’organisation des TPE et permet des séquences pédagogiques complètes.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Jours fériés de La Réunion pris en compte, dont le </w:t>
      </w:r>
      <w:r>
        <w:rPr>
          <w:rFonts w:ascii="Arial" w:cs="Arial" w:eastAsia="Arial" w:hAnsi="Arial"/>
          <w:b/>
          <w:bCs/>
        </w:rPr>
        <w:t xml:space="preserve">20 décembre</w:t>
      </w:r>
      <w:r>
        <w:rPr>
          <w:rFonts w:ascii="Arial" w:cs="Arial" w:eastAsia="Arial" w:hAnsi="Arial"/>
        </w:rPr>
        <w:t xml:space="preserve"> (fête de l’abolition de l’esclavage).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Lieu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[adresse des locaux]</w:t>
      </w:r>
      <w:r>
        <w:rPr>
          <w:rFonts w:ascii="Arial" w:cs="Arial" w:eastAsia="Arial" w:hAnsi="Arial"/>
        </w:rPr>
        <w:t xml:space="preserve">. Effectif maximum par groupe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[nombre]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Calendrier annuel type (entrée en septembre)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800"/>
        <w:gridCol w:w="3200"/>
        <w:gridCol w:w="4638"/>
      </w:tblGrid>
      <w:tr>
        <w:trPr>
          <w:tblHeader/>
        </w:trPr>
        <w:tc>
          <w:tcPr>
            <w:tcW w:type="dxa" w:w="1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Mois</w:t>
            </w:r>
          </w:p>
        </w:tc>
        <w:tc>
          <w:tcPr>
            <w:tcW w:type="dxa" w:w="3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Semaine au CFA</w:t>
            </w:r>
          </w:p>
        </w:tc>
        <w:tc>
          <w:tcPr>
            <w:tcW w:type="dxa" w:w="46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Dominante pédagogique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Septembre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Intégration, droits et sécurité, positionnement, démarrage bloc 1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Octobre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Novembre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Décembre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  <w:r>
              <w:rPr>
                <w:rFonts w:ascii="Arial" w:cs="Arial" w:eastAsia="Arial" w:hAnsi="Arial"/>
              </w:rPr>
              <w:t xml:space="preserve"> (hors 20 décembre)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— bilan trimestriel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Janvier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Février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Mars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— bilan intermédiaire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Avril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ou 3 ; esprit d’entreprendre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Mai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ou 3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Juin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Transversal ; préparation du dossier professionnel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Juillet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Examen blanc ; remédiation</w:t>
            </w:r>
          </w:p>
        </w:tc>
      </w:tr>
      <w:tr>
        <w:trPr>
          <w:cantSplit/>
        </w:trPr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Août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[dates]</w:t>
            </w:r>
          </w:p>
        </w:tc>
        <w:tc>
          <w:tcPr>
            <w:tcW w:type="dxa" w:w="4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Révisions ; insertion professionnelle ; session de certification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[date]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Titre professionnel Conseiller de vente (niveau 4)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RNCP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[code]</w:t>
      </w:r>
      <w:r>
        <w:rPr>
          <w:rFonts w:ascii="Arial" w:cs="Arial" w:eastAsia="Arial" w:hAnsi="Arial"/>
        </w:rPr>
        <w:t xml:space="preserve"> — Certificateur : ministère du Travail — Volume au CFA : 420 heures.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— Contribuer à l’animation de l’espace de vente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— Vendre et conseiller le client en magasin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168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Numérique, outils d’IA et protection des données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Esprit d’entreprendre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Techniques de recherche d’emploi et insertion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Évaluations en cours de formation, dossier professionnel, examen blanc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Accompagnement individualisé et remédiation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Total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</w:rPr>
        <w:t xml:space="preserve">Semaine type n° 1 (septembre)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Accueil, présentation, règlement intérieur, droits et devoirs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Santé et sécurité au travail ; quiz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Mardi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Positionnement ; égalité et prévention du harcèlement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: le point de vente et son environnement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: connaissance des produits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: merchandising et présentation marchande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Jeudi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: réception et mise en rayon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Activité de cohésion (pièce n° 16)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: mises en situation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 formative ; consignes pour la période en entreprise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4. Titre professionnel Négociateur technico-commercial (niveau 5)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RNCP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[code]</w:t>
      </w:r>
      <w:r>
        <w:rPr>
          <w:rFonts w:ascii="Arial" w:cs="Arial" w:eastAsia="Arial" w:hAnsi="Arial"/>
        </w:rPr>
        <w:t xml:space="preserve"> — Certificateur : ministère du Travail — Volume au CFA : 420 heures.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— Élaborer une stratégie de prospection et la mettre en œuvre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154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— Négocier une solution technique et commerciale et consolider l’expérience client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175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Numérique, CRM, outils d’IA et protection des données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Esprit d’entreprendre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Techniques de recherche d’emploi et insertion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Évaluations en cours de formation, dossier professionnel, examen blanc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Accompagnement individualisé et remédiation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Total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</w:rPr>
        <w:t xml:space="preserve">Semaine type n° 5 (janvier)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analyse du besoin client B to B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construire une proposition de valeur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Mardi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chiffrage et rentabilité d’une offre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jeux de rôle de négociation filmés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traitement des objections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Numérique : CRM et données clients (RGPD)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Jeudi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conclure et sécuriser la vente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étude de cas d’une PME réunionnaise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 en cours de formation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Débriefing individuel ; consignes pour la période en entreprise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5. Titre professionnel Manager d’unité marchande (niveau 5)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RNCP :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[code]</w:t>
      </w:r>
      <w:r>
        <w:rPr>
          <w:rFonts w:ascii="Arial" w:cs="Arial" w:eastAsia="Arial" w:hAnsi="Arial"/>
        </w:rPr>
        <w:t xml:space="preserve"> — Certificateur : ministère du Travail — Volume au CFA : 420 heures.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1 — Développer la dynamique commerciale de l’unité marchande dans un environnement omnicanal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— Optimiser la performance économique et la rentabilité financière de l’unité marchande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112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— Manager l’équipe de l’unité marchande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[intitulé à vérifier]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119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Numérique, outils d’IA et protection des données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Esprit d’entreprendre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Techniques de recherche d’emploi et insertion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Évaluations en cours de formation, dossier professionnel, examen blanc</w:t>
            </w:r>
          </w:p>
        </w:tc>
        <w:tc>
          <w:tcPr>
            <w:tcW w:type="dxa" w:w="18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Total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420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</w:rPr>
        <w:t xml:space="preserve">Semaine type n° 9 (mai)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recruter et intégrer un collaborateur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planifier l’activité de l’équipe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Mardi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conduire un entretien individuel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jeux de rôle de management (recadrage, félicitations)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animer une réunion d’équipe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3 : prévenir et gérer les conflits</w:t>
            </w:r>
          </w:p>
        </w:tc>
      </w:tr>
      <w:tr>
        <w:trPr>
          <w:cantSplit/>
        </w:trPr>
        <w:tc>
          <w:tcPr>
            <w:tcW w:type="dxa" w:w="1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Jeudi</w:t>
            </w:r>
          </w:p>
        </w:tc>
        <w:tc>
          <w:tcPr>
            <w:tcW w:type="dxa" w:w="4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Esprit d’entreprendre : de l’idée au projet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 2 : tableau de bord et indicateurs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Évaluation en cours de formation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Débriefing individuel ; consignes pour la période en entreprise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IA Act</w:t>
            </w:r>
            <w:r>
              <w:rPr>
                <w:rFonts w:ascii="Arial" w:cs="Arial" w:eastAsia="Arial" w:hAnsi="Arial"/>
              </w:rPr>
              <w:t xml:space="preserve"> — Le module « outils d’IA » contribue à l’obligation de </w:t>
            </w:r>
            <w:r>
              <w:rPr>
                <w:rFonts w:ascii="Arial" w:cs="Arial" w:eastAsia="Arial" w:hAnsi="Arial"/>
                <w:b/>
                <w:bCs/>
              </w:rPr>
              <w:t xml:space="preserve">maîtrise de l’IA</w:t>
            </w:r>
            <w:r>
              <w:rPr>
                <w:rFonts w:ascii="Arial" w:cs="Arial" w:eastAsia="Arial" w:hAnsi="Arial"/>
              </w:rPr>
              <w:t xml:space="preserve"> (article 4 du règlement européen sur l’IA, applicable depuis le 2 février 2025) chez les futurs salariés des entreprises d’accueil. Les outils présentés en formation privilégient des solutions respectant l’hébergement des données dans l’UE.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18 — Emplois du temps prévisionnels par certification préparée</dc:title>
  <dc:creator>Aurélien LUMEKA</dc:creator>
  <cp:lastModifiedBy>Un-named</cp:lastModifiedBy>
  <cp:revision>1</cp:revision>
  <dcterms:created xsi:type="dcterms:W3CDTF">2026-10-28T12:04:48.790Z</dcterms:created>
  <dcterms:modified xsi:type="dcterms:W3CDTF">2026-10-28T12:04:48.790Z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