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Contenu du dossier de chaque stagiaire</w:t>
      </w:r>
    </w:p>
    <w:p>
      <w:r>
        <w:rPr>
          <w:b/>
          <w:color w:val="1B3A6B"/>
          <w:sz w:val="28"/>
        </w:rPr>
        <w:t>Liste de contrôle — preuves pour les financeurs, la DEETS et Qualiopi</w:t>
      </w:r>
    </w:p>
    <w:p>
      <w:pPr>
        <w:pBdr>
          <w:bottom w:val="single" w:sz="18" w:space="1" w:color="C9A84C"/>
        </w:pBdr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6747"/>
        <w:gridCol w:w="1417"/>
      </w:tblGrid>
      <w:tr>
        <w:trPr>
          <w:tblHeader w:val="true"/>
        </w:trPr>
        <w:tc>
          <w:tcPr>
            <w:tcW w:type="dxa" w:w="147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Moment</w:t>
            </w:r>
          </w:p>
        </w:tc>
        <w:tc>
          <w:tcPr>
            <w:tcW w:type="dxa" w:w="6746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Pièce</w:t>
            </w:r>
          </w:p>
        </w:tc>
        <w:tc>
          <w:tcPr>
            <w:tcW w:type="dxa" w:w="1417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Présente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Avant</w:t>
            </w:r>
          </w:p>
        </w:tc>
        <w:tc>
          <w:tcPr>
            <w:tcW w:type="dxa" w:w="6746"/>
          </w:tcPr>
          <w:p>
            <w:r/>
            <w:r>
              <w:rPr>
                <w:b w:val="0"/>
                <w:sz w:val="22"/>
              </w:rPr>
              <w:t>Fiche d'inscription FI-01 et pièces justificatives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Avant</w:t>
            </w:r>
          </w:p>
        </w:tc>
        <w:tc>
          <w:tcPr>
            <w:tcW w:type="dxa" w:w="6746"/>
            <w:shd w:val="clear" w:color="auto" w:fill="E8EEF7"/>
          </w:tcPr>
          <w:p>
            <w:r/>
            <w:r>
              <w:rPr>
                <w:b w:val="0"/>
                <w:sz w:val="22"/>
              </w:rPr>
              <w:t>Compte rendu d'entretien d'admission et positionnement (POS-02)</w:t>
            </w:r>
          </w:p>
        </w:tc>
        <w:tc>
          <w:tcPr>
            <w:tcW w:type="dxa" w:w="1417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Avant</w:t>
            </w:r>
          </w:p>
        </w:tc>
        <w:tc>
          <w:tcPr>
            <w:tcW w:type="dxa" w:w="6746"/>
          </w:tcPr>
          <w:p>
            <w:r/>
            <w:r>
              <w:rPr>
                <w:b w:val="0"/>
                <w:sz w:val="22"/>
              </w:rPr>
              <w:t>Accord de financement (EDOF, KAIROS, OPCO, Région…)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Avant</w:t>
            </w:r>
          </w:p>
        </w:tc>
        <w:tc>
          <w:tcPr>
            <w:tcW w:type="dxa" w:w="6746"/>
            <w:shd w:val="clear" w:color="auto" w:fill="E8EEF7"/>
          </w:tcPr>
          <w:p>
            <w:r/>
            <w:r>
              <w:rPr>
                <w:b w:val="0"/>
                <w:sz w:val="22"/>
              </w:rPr>
              <w:t>Convention CONV-03 ou contrat CTR-04 signé ; convocation CONVOC-16</w:t>
            </w:r>
          </w:p>
        </w:tc>
        <w:tc>
          <w:tcPr>
            <w:tcW w:type="dxa" w:w="1417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Entrée</w:t>
            </w:r>
          </w:p>
        </w:tc>
        <w:tc>
          <w:tcPr>
            <w:tcW w:type="dxa" w:w="6746"/>
          </w:tcPr>
          <w:p>
            <w:r/>
            <w:r>
              <w:rPr>
                <w:b w:val="0"/>
                <w:sz w:val="22"/>
              </w:rPr>
              <w:t>Attestation d'entrée ; accusé de réception du règlement intérieur, de l'avenant et de la politique de confidentialité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Entrée</w:t>
            </w:r>
          </w:p>
        </w:tc>
        <w:tc>
          <w:tcPr>
            <w:tcW w:type="dxa" w:w="6746"/>
            <w:shd w:val="clear" w:color="auto" w:fill="E8EEF7"/>
          </w:tcPr>
          <w:p>
            <w:r/>
            <w:r>
              <w:rPr>
                <w:b w:val="0"/>
                <w:sz w:val="22"/>
              </w:rPr>
              <w:t>Contrat d'engagement (ABS-13) ; autorisation d'image IMG-15 (facultative)</w:t>
            </w:r>
          </w:p>
        </w:tc>
        <w:tc>
          <w:tcPr>
            <w:tcW w:type="dxa" w:w="1417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Pendant</w:t>
            </w:r>
          </w:p>
        </w:tc>
        <w:tc>
          <w:tcPr>
            <w:tcW w:type="dxa" w:w="6746"/>
          </w:tcPr>
          <w:p>
            <w:r/>
            <w:r>
              <w:rPr>
                <w:b w:val="0"/>
                <w:sz w:val="22"/>
              </w:rPr>
              <w:t>Feuilles d'émargement par demi-journée ; attestations mensuelles de présence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Pendant</w:t>
            </w:r>
          </w:p>
        </w:tc>
        <w:tc>
          <w:tcPr>
            <w:tcW w:type="dxa" w:w="6746"/>
            <w:shd w:val="clear" w:color="auto" w:fill="E8EEF7"/>
          </w:tcPr>
          <w:p>
            <w:r/>
            <w:r>
              <w:rPr>
                <w:b w:val="0"/>
                <w:sz w:val="22"/>
              </w:rPr>
              <w:t>Suivi des absences et actions menées</w:t>
            </w:r>
          </w:p>
        </w:tc>
        <w:tc>
          <w:tcPr>
            <w:tcW w:type="dxa" w:w="1417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Pendant</w:t>
            </w:r>
          </w:p>
        </w:tc>
        <w:tc>
          <w:tcPr>
            <w:tcW w:type="dxa" w:w="6746"/>
          </w:tcPr>
          <w:p>
            <w:r/>
            <w:r>
              <w:rPr>
                <w:b w:val="0"/>
                <w:sz w:val="22"/>
              </w:rPr>
              <w:t>Conventions de période en entreprise, fiches de suivi, attestations de période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Pendant</w:t>
            </w:r>
          </w:p>
        </w:tc>
        <w:tc>
          <w:tcPr>
            <w:tcW w:type="dxa" w:w="6746"/>
            <w:shd w:val="clear" w:color="auto" w:fill="E8EEF7"/>
          </w:tcPr>
          <w:p>
            <w:r/>
            <w:r>
              <w:rPr>
                <w:b w:val="0"/>
                <w:sz w:val="22"/>
              </w:rPr>
              <w:t>Bilan de mi-parcours ; fiches de liaison prescripteur</w:t>
            </w:r>
          </w:p>
        </w:tc>
        <w:tc>
          <w:tcPr>
            <w:tcW w:type="dxa" w:w="1417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Fin</w:t>
            </w:r>
          </w:p>
        </w:tc>
        <w:tc>
          <w:tcPr>
            <w:tcW w:type="dxa" w:w="6746"/>
          </w:tcPr>
          <w:p>
            <w:r/>
            <w:r>
              <w:rPr>
                <w:b w:val="0"/>
                <w:sz w:val="22"/>
              </w:rPr>
              <w:t>Questionnaire de satisfaction à chaud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Fin</w:t>
            </w:r>
          </w:p>
        </w:tc>
        <w:tc>
          <w:tcPr>
            <w:tcW w:type="dxa" w:w="6746"/>
            <w:shd w:val="clear" w:color="auto" w:fill="E8EEF7"/>
          </w:tcPr>
          <w:p>
            <w:r/>
            <w:r>
              <w:rPr>
                <w:b w:val="0"/>
                <w:sz w:val="22"/>
              </w:rPr>
              <w:t>Attestation de fin de formation YEBA-DOC-17 ; certificat de réalisation YEBA-DOC-18</w:t>
            </w:r>
          </w:p>
        </w:tc>
        <w:tc>
          <w:tcPr>
            <w:tcW w:type="dxa" w:w="1417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Fin</w:t>
            </w:r>
          </w:p>
        </w:tc>
        <w:tc>
          <w:tcPr>
            <w:tcW w:type="dxa" w:w="6746"/>
          </w:tcPr>
          <w:p>
            <w:r/>
            <w:r>
              <w:rPr>
                <w:b w:val="0"/>
                <w:sz w:val="22"/>
              </w:rPr>
              <w:t>Convocation et résultat de la session de validation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8EEF7"/>
          </w:tcPr>
          <w:p>
            <w:r/>
            <w:r>
              <w:rPr>
                <w:b w:val="0"/>
                <w:sz w:val="22"/>
              </w:rPr>
              <w:t>Après</w:t>
            </w:r>
          </w:p>
        </w:tc>
        <w:tc>
          <w:tcPr>
            <w:tcW w:type="dxa" w:w="6746"/>
            <w:shd w:val="clear" w:color="auto" w:fill="E8EEF7"/>
          </w:tcPr>
          <w:p>
            <w:r/>
            <w:r>
              <w:rPr>
                <w:b w:val="0"/>
                <w:sz w:val="22"/>
              </w:rPr>
              <w:t>Questionnaire à froid ; enquête d'insertion à 6 mois</w:t>
            </w:r>
          </w:p>
        </w:tc>
        <w:tc>
          <w:tcPr>
            <w:tcW w:type="dxa" w:w="1417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b w:val="0"/>
                <w:sz w:val="22"/>
              </w:rPr>
              <w:t>Séparé</w:t>
            </w:r>
          </w:p>
        </w:tc>
        <w:tc>
          <w:tcPr>
            <w:tcW w:type="dxa" w:w="6746"/>
          </w:tcPr>
          <w:p>
            <w:r/>
            <w:r>
              <w:rPr>
                <w:b w:val="0"/>
                <w:sz w:val="22"/>
              </w:rPr>
              <w:t>Fiche d'adaptation (sans donnée médicale), si concerné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Conservation : 5 ans après la fin de l'action pour les pièces d'exécution, 10 ans pour les pièces comptables, ou plus si le financeur l'exige.</w:t>
            </w:r>
          </w:p>
          <w:p>
            <w:r>
              <w:rPr>
                <w:b w:val="0"/>
                <w:sz w:val="22"/>
              </w:rPr>
              <w:t>Stockage dans un espace chiffré hébergé dans l'Union européenne, accès limité aux personnes habilitées.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CHK-19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24277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nd_clair_1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4277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Contenu du dossier de chaque stagiaire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