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Procédure d'admission et de positionnement</w:t>
      </w:r>
    </w:p>
    <w:p>
      <w:r>
        <w:rPr>
          <w:b/>
          <w:color w:val="1B3A6B"/>
          <w:sz w:val="28"/>
        </w:rPr>
        <w:t>Avant l'entrée en formation (Qualiopi indicateurs 4 et 8)</w:t>
      </w:r>
    </w:p>
    <w:p>
      <w:pPr>
        <w:pBdr>
          <w:bottom w:val="single" w:sz="18" w:space="1" w:color="C9A84C"/>
        </w:pBdr>
      </w:pPr>
    </w:p>
    <w:p>
      <w:r>
        <w:rPr>
          <w:b w:val="0"/>
        </w:rPr>
        <w:t>Objectif : vérifier l'adéquation entre le projet du candidat et la formation, puis individualiser le parcours.</w:t>
      </w:r>
    </w:p>
    <w:p>
      <w:pPr>
        <w:pStyle w:val="Heading2"/>
      </w:pPr>
      <w:r>
        <w:t>Les étapes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3628"/>
        <w:gridCol w:w="1814"/>
        <w:gridCol w:w="2154"/>
      </w:tblGrid>
      <w:tr>
        <w:trPr>
          <w:tblHeader w:val="true"/>
        </w:trPr>
        <w:tc>
          <w:tcPr>
            <w:tcW w:type="dxa" w:w="204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Étape</w:t>
            </w:r>
          </w:p>
        </w:tc>
        <w:tc>
          <w:tcPr>
            <w:tcW w:type="dxa" w:w="36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Contenu</w:t>
            </w:r>
          </w:p>
        </w:tc>
        <w:tc>
          <w:tcPr>
            <w:tcW w:type="dxa" w:w="181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Délai</w:t>
            </w:r>
          </w:p>
        </w:tc>
        <w:tc>
          <w:tcPr>
            <w:tcW w:type="dxa" w:w="215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Trace conservée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r/>
            <w:r>
              <w:rPr>
                <w:b w:val="0"/>
                <w:sz w:val="22"/>
              </w:rPr>
              <w:t>1. Information collective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2"/>
              </w:rPr>
              <w:t>Métier, titre, rythme, période en entreprise, financements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2"/>
              </w:rPr>
              <w:t>3 à 1 mois avant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2"/>
              </w:rPr>
              <w:t>Feuille de présence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E8EEF7"/>
          </w:tcPr>
          <w:p>
            <w:r/>
            <w:r>
              <w:rPr>
                <w:b w:val="0"/>
                <w:sz w:val="22"/>
              </w:rPr>
              <w:t>2. Dossier de candidature</w:t>
            </w:r>
          </w:p>
        </w:tc>
        <w:tc>
          <w:tcPr>
            <w:tcW w:type="dxa" w:w="3628"/>
            <w:shd w:val="clear" w:color="auto" w:fill="E8EEF7"/>
          </w:tcPr>
          <w:p>
            <w:r/>
            <w:r>
              <w:rPr>
                <w:b w:val="0"/>
                <w:sz w:val="22"/>
              </w:rPr>
              <w:t>Fiche d'inscription FI-01, CV, justificatif de situation</w:t>
            </w:r>
          </w:p>
        </w:tc>
        <w:tc>
          <w:tcPr>
            <w:tcW w:type="dxa" w:w="1814"/>
            <w:shd w:val="clear" w:color="auto" w:fill="E8EEF7"/>
          </w:tcPr>
          <w:p>
            <w:r/>
            <w:r>
              <w:rPr>
                <w:b w:val="0"/>
                <w:sz w:val="22"/>
              </w:rPr>
              <w:t>Avant l'entretien</w:t>
            </w:r>
          </w:p>
        </w:tc>
        <w:tc>
          <w:tcPr>
            <w:tcW w:type="dxa" w:w="2154"/>
            <w:shd w:val="clear" w:color="auto" w:fill="E8EEF7"/>
          </w:tcPr>
          <w:p>
            <w:r/>
            <w:r>
              <w:rPr>
                <w:b w:val="0"/>
                <w:sz w:val="22"/>
              </w:rPr>
              <w:t>Dossier candidat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r/>
            <w:r>
              <w:rPr>
                <w:b w:val="0"/>
                <w:sz w:val="22"/>
              </w:rPr>
              <w:t>3. Positionnement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2"/>
              </w:rPr>
              <w:t>Situation des acquis par rapport au référentiel (outil conçu avec les supports de cours)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2"/>
              </w:rPr>
              <w:t>Jour de l'entretien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2"/>
              </w:rPr>
              <w:t>Résultat du positionnement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E8EEF7"/>
          </w:tcPr>
          <w:p>
            <w:r/>
            <w:r>
              <w:rPr>
                <w:b w:val="0"/>
                <w:sz w:val="22"/>
              </w:rPr>
              <w:t>4. Entretien individuel</w:t>
            </w:r>
          </w:p>
        </w:tc>
        <w:tc>
          <w:tcPr>
            <w:tcW w:type="dxa" w:w="3628"/>
            <w:shd w:val="clear" w:color="auto" w:fill="E8EEF7"/>
          </w:tcPr>
          <w:p>
            <w:r/>
            <w:r>
              <w:rPr>
                <w:b w:val="0"/>
                <w:sz w:val="22"/>
              </w:rPr>
              <w:t>Projet, motivation, disponibilité, freins, financement, besoin d'aménagement</w:t>
            </w:r>
          </w:p>
        </w:tc>
        <w:tc>
          <w:tcPr>
            <w:tcW w:type="dxa" w:w="1814"/>
            <w:shd w:val="clear" w:color="auto" w:fill="E8EEF7"/>
          </w:tcPr>
          <w:p>
            <w:r/>
            <w:r>
              <w:rPr>
                <w:b w:val="0"/>
                <w:sz w:val="22"/>
              </w:rPr>
              <w:t>Jour de l'entretien</w:t>
            </w:r>
          </w:p>
        </w:tc>
        <w:tc>
          <w:tcPr>
            <w:tcW w:type="dxa" w:w="2154"/>
            <w:shd w:val="clear" w:color="auto" w:fill="E8EEF7"/>
          </w:tcPr>
          <w:p>
            <w:r/>
            <w:r>
              <w:rPr>
                <w:b w:val="0"/>
                <w:sz w:val="22"/>
              </w:rPr>
              <w:t>Compte rendu d'entretien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r/>
            <w:r>
              <w:rPr>
                <w:b w:val="0"/>
                <w:sz w:val="22"/>
              </w:rPr>
              <w:t>5. Décision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2"/>
              </w:rPr>
              <w:t>Admis, admis avec parcours adapté, ou réorientation motivée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2"/>
              </w:rPr>
              <w:t>Sous 10 jours ouvrés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2"/>
              </w:rPr>
              <w:t>Courrier ou e-mail au candidat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E8EEF7"/>
          </w:tcPr>
          <w:p>
            <w:r/>
            <w:r>
              <w:rPr>
                <w:b w:val="0"/>
                <w:sz w:val="22"/>
              </w:rPr>
              <w:t>6. Parcours individualisé</w:t>
            </w:r>
          </w:p>
        </w:tc>
        <w:tc>
          <w:tcPr>
            <w:tcW w:type="dxa" w:w="3628"/>
            <w:shd w:val="clear" w:color="auto" w:fill="E8EEF7"/>
          </w:tcPr>
          <w:p>
            <w:r/>
            <w:r>
              <w:rPr>
                <w:b w:val="0"/>
                <w:sz w:val="22"/>
              </w:rPr>
              <w:t>Ajustements du parcours selon le positionnement</w:t>
            </w:r>
          </w:p>
        </w:tc>
        <w:tc>
          <w:tcPr>
            <w:tcW w:type="dxa" w:w="1814"/>
            <w:shd w:val="clear" w:color="auto" w:fill="E8EEF7"/>
          </w:tcPr>
          <w:p>
            <w:r/>
            <w:r>
              <w:rPr>
                <w:b w:val="0"/>
                <w:sz w:val="22"/>
              </w:rPr>
              <w:t>Avant l'entrée</w:t>
            </w:r>
          </w:p>
        </w:tc>
        <w:tc>
          <w:tcPr>
            <w:tcW w:type="dxa" w:w="2154"/>
            <w:shd w:val="clear" w:color="auto" w:fill="E8EEF7"/>
          </w:tcPr>
          <w:p>
            <w:r/>
            <w:r>
              <w:rPr>
                <w:b w:val="0"/>
                <w:sz w:val="22"/>
              </w:rPr>
              <w:t>Plan de parcours individualisé</w:t>
            </w:r>
          </w:p>
        </w:tc>
      </w:tr>
    </w:tbl>
    <w:p/>
    <w:p>
      <w:pPr>
        <w:pStyle w:val="Heading2"/>
      </w:pPr>
      <w:r>
        <w:t>Compte rendu d'entretien d'admission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5953"/>
      </w:tblGrid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Candidat (nom, prénom)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Formation visée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Projet professionnel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Disponibilité sur toute la durée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Freins identifiés (mobilité, garde, logement)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Financement identifié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Besoin d'aménagement (oui / non)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Décision et motif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Décision prise par (nom, fonction), date</w:t>
            </w:r>
          </w:p>
        </w:tc>
        <w:tc>
          <w:tcPr>
            <w:tcW w:type="dxa" w:w="5953"/>
          </w:tcPr>
          <w:p/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/>
            <w:r>
              <w:rPr>
                <w:b/>
                <w:color w:val="1B3A6B"/>
                <w:sz w:val="26"/>
              </w:rPr>
              <w:t>RGPD et IA Act — points de conformité de ce document</w:t>
            </w:r>
          </w:p>
          <w:p>
            <w:r>
              <w:rPr>
                <w:b w:val="0"/>
                <w:sz w:val="22"/>
              </w:rPr>
              <w:t>Candidat non retenu : données supprimées 2 ans après le dernier contact. Candidat admis : dossier stagiaire.</w:t>
            </w:r>
          </w:p>
          <w:p>
            <w:r>
              <w:rPr>
                <w:b w:val="0"/>
                <w:sz w:val="22"/>
              </w:rPr>
              <w:t>Aucun système d'IA n'est utilisé pour évaluer, noter, classer ou sélectionner les stagiaires. La décision est prise exclusivement par une personne habilitée.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POS-02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24277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nd_clair_10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4277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Procédure d'admission et de positionnement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