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Complément au registre des traitements</w:t>
      </w:r>
    </w:p>
    <w:p>
      <w:r>
        <w:rPr>
          <w:b/>
          <w:color w:val="1B3A6B"/>
          <w:sz w:val="28"/>
        </w:rPr>
        <w:t>Traitements propres aux parcours certifiants — à reporter dans YEBA-DOC-16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>Responsable de traitement : YEBA FORMATIONS, Entrepreneur individuel (EI), représenté par Aurélien LUMEKA. Contact : yebaformations@gmail.com. Pas de délégué à la protection des données (non obligatoire, politique YEBA-DOC-02). Les traitements déjà décrits dans YEBA-DOC-02 et YEBA-DOC-16 (gestion des stagiaires, facturation, prospection) ne sont pas répétés ici.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587"/>
        <w:gridCol w:w="2608"/>
        <w:gridCol w:w="2381"/>
        <w:gridCol w:w="2835"/>
        <w:gridCol w:w="2551"/>
      </w:tblGrid>
      <w:tr>
        <w:trPr>
          <w:tblHeader w:val="true"/>
        </w:trPr>
        <w:tc>
          <w:tcPr>
            <w:tcW w:type="dxa" w:w="260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Traitement</w:t>
            </w:r>
          </w:p>
        </w:tc>
        <w:tc>
          <w:tcPr>
            <w:tcW w:type="dxa" w:w="158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Personnes</w:t>
            </w:r>
          </w:p>
        </w:tc>
        <w:tc>
          <w:tcPr>
            <w:tcW w:type="dxa" w:w="260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Données</w:t>
            </w:r>
          </w:p>
        </w:tc>
        <w:tc>
          <w:tcPr>
            <w:tcW w:type="dxa" w:w="238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Base légale</w:t>
            </w:r>
          </w:p>
        </w:tc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Destinataires</w:t>
            </w:r>
          </w:p>
        </w:tc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Conservation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Déclarations sur les plateformes des financeurs (EDOF, KAIROS, Région, OPCO)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Stagiaires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Identité, identifiant financeur, présence, résultats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Obligation légale ; contrat (art. 6.1.c et 6.1.b)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Caisse des Dépôts, France Travail, Région, OPCO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Durée exigée par chaque financeur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8EEF7"/>
          </w:tcPr>
          <w:p>
            <w:r/>
            <w:r>
              <w:rPr>
                <w:b w:val="0"/>
                <w:sz w:val="22"/>
              </w:rPr>
              <w:t>Rémunération des stagiaires (dossier Région ou ASP, si concerné)</w:t>
            </w:r>
          </w:p>
        </w:tc>
        <w:tc>
          <w:tcPr>
            <w:tcW w:type="dxa" w:w="1587"/>
            <w:shd w:val="clear" w:color="auto" w:fill="E8EEF7"/>
          </w:tcPr>
          <w:p>
            <w:r/>
            <w:r>
              <w:rPr>
                <w:b w:val="0"/>
                <w:sz w:val="22"/>
              </w:rPr>
              <w:t>Stagiaires</w:t>
            </w:r>
          </w:p>
        </w:tc>
        <w:tc>
          <w:tcPr>
            <w:tcW w:type="dxa" w:w="2608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Identité, numéro de sécurité sociale, RIB</w:t>
            </w:r>
          </w:p>
        </w:tc>
        <w:tc>
          <w:tcPr>
            <w:tcW w:type="dxa" w:w="2381"/>
            <w:shd w:val="clear" w:color="auto" w:fill="E8EEF7"/>
          </w:tcPr>
          <w:p>
            <w:r/>
            <w:r>
              <w:rPr>
                <w:b w:val="0"/>
                <w:sz w:val="22"/>
              </w:rPr>
              <w:t>Obligation légale ; mission du financeur (art. 6.1.c et 6.1.e)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Financeur, ASP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Durée exigée par le financeur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Inscription à la session de validation du titre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Candidats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Identité, dossier professionnel, preuve de période en entreprise, résultats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Obligation légale (art. 6.1.c)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DEETS, responsable de session, jury, centre agréé partenaire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Durée de la formation + 5 ans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Périodes en entreprise</w:t>
            </w:r>
          </w:p>
        </w:tc>
        <w:tc>
          <w:tcPr>
            <w:tcW w:type="dxa" w:w="1587"/>
            <w:shd w:val="clear" w:color="auto" w:fill="E8EEF7"/>
          </w:tcPr>
          <w:p>
            <w:r/>
            <w:r>
              <w:rPr>
                <w:b w:val="0"/>
                <w:sz w:val="22"/>
              </w:rPr>
              <w:t>Stagiaires, tuteurs</w:t>
            </w:r>
          </w:p>
        </w:tc>
        <w:tc>
          <w:tcPr>
            <w:tcW w:type="dxa" w:w="2608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Identité, coordonnées du tuteur, convention, suivi</w:t>
            </w:r>
          </w:p>
        </w:tc>
        <w:tc>
          <w:tcPr>
            <w:tcW w:type="dxa" w:w="2381"/>
            <w:shd w:val="clear" w:color="auto" w:fill="E8EEF7"/>
          </w:tcPr>
          <w:p>
            <w:r/>
            <w:r>
              <w:rPr>
                <w:b w:val="0"/>
                <w:sz w:val="22"/>
              </w:rPr>
              <w:t>Contrat (art. 6.1.b)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 d'accueil, financeur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Durée de la formation + 5 ans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Liaison avec les prescripteurs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Stagiaires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Assiduité, progression, freins signalés avec accord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Intérêt légitime et accord du stagiaire (art. 6.1.f)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Mission Locale, France Travail, Cap emploi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Durée de la formation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8EEF7"/>
          </w:tcPr>
          <w:p>
            <w:r/>
            <w:r>
              <w:rPr>
                <w:b w:val="0"/>
                <w:sz w:val="22"/>
              </w:rPr>
              <w:t>Aménagements de parcours et d'examen</w:t>
            </w:r>
          </w:p>
        </w:tc>
        <w:tc>
          <w:tcPr>
            <w:tcW w:type="dxa" w:w="1587"/>
            <w:shd w:val="clear" w:color="auto" w:fill="E8EEF7"/>
          </w:tcPr>
          <w:p>
            <w:r/>
            <w:r>
              <w:rPr>
                <w:b w:val="0"/>
                <w:sz w:val="22"/>
              </w:rPr>
              <w:t>Stagiaires concernés</w:t>
            </w:r>
          </w:p>
        </w:tc>
        <w:tc>
          <w:tcPr>
            <w:tcW w:type="dxa" w:w="2608"/>
            <w:shd w:val="clear" w:color="auto" w:fill="E8EEF7"/>
          </w:tcPr>
          <w:p>
            <w:r/>
            <w:r>
              <w:rPr>
                <w:b w:val="0"/>
                <w:sz w:val="22"/>
              </w:rPr>
              <w:t>Aménagement retenu, sans donnée médicale</w:t>
            </w:r>
          </w:p>
        </w:tc>
        <w:tc>
          <w:tcPr>
            <w:tcW w:type="dxa" w:w="2381"/>
            <w:shd w:val="clear" w:color="auto" w:fill="E8EEF7"/>
          </w:tcPr>
          <w:p>
            <w:r/>
            <w:r>
              <w:rPr>
                <w:b w:val="0"/>
                <w:sz w:val="22"/>
              </w:rPr>
              <w:t>Consentement explicite (art. 9.2.a)</w:t>
            </w:r>
          </w:p>
        </w:tc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Référent handicap, responsable de session</w:t>
            </w:r>
          </w:p>
        </w:tc>
        <w:tc>
          <w:tcPr>
            <w:tcW w:type="dxa" w:w="2551"/>
            <w:shd w:val="clear" w:color="auto" w:fill="E8EEF7"/>
          </w:tcPr>
          <w:p>
            <w:r/>
            <w:r>
              <w:rPr>
                <w:b w:val="0"/>
                <w:sz w:val="22"/>
              </w:rPr>
              <w:t>Fin du parcours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Suivi de l'insertion à 6 mois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2"/>
              </w:rPr>
              <w:t>Anciens stagiaires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2"/>
              </w:rPr>
              <w:t>Situation professionnelle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22"/>
              </w:rPr>
              <w:t>Obligation légale (indicateurs publics) ; intérêt légitime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Interne ; résultats agrégés publiés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2 ans (réponses individuelles)</w:t>
            </w:r>
          </w:p>
        </w:tc>
      </w:tr>
    </w:tbl>
    <w:p/>
    <w:p>
      <w:pPr>
        <w:pStyle w:val="Heading2"/>
      </w:pPr>
      <w:r>
        <w:t>Points de vigilance relevés dans la base Airtable (souveraineté des données)</w:t>
      </w:r>
    </w:p>
    <w:p>
      <w:pPr>
        <w:pStyle w:val="ListBullet"/>
      </w:pPr>
      <w:r>
        <w:rPr>
          <w:b w:val="0"/>
        </w:rPr>
        <w:t>Airtable (Airtable Inc.) et la messagerie Gmail (Google LLC) relèvent du droit des États-Unis : documenter le mécanisme de transfert hors UE ou migrer (cible déjà décidée : Baserow auto-hébergé chez OVHcloud, envoi des courriels par Brevo).</w:t>
      </w:r>
    </w:p>
    <w:p>
      <w:pPr>
        <w:pStyle w:val="ListBullet"/>
      </w:pPr>
      <w:r>
        <w:rPr>
          <w:b w:val="0"/>
        </w:rPr>
        <w:t>Ne pas stocker dans Airtable le numéro de sécurité sociale ni le RIB des stagiaires : les conserver dans un espace chiffré hébergé dans l'Union européenne.</w:t>
      </w:r>
    </w:p>
    <w:p>
      <w:pPr>
        <w:pStyle w:val="ListBullet"/>
      </w:pPr>
      <w:r>
        <w:rPr>
          <w:b w:val="0"/>
        </w:rPr>
        <w:t>Champs « À SUPPRIMER » de la table APPRENANTS (données de santé, CPF, photo) : suppression définitive à faire.</w:t>
      </w:r>
    </w:p>
    <w:p>
      <w:pPr>
        <w:pStyle w:val="Heading2"/>
      </w:pPr>
      <w:r>
        <w:t>IA Act appliqué aux parcours certifiants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3969"/>
        <w:gridCol w:w="5783"/>
      </w:tblGrid>
      <w:tr>
        <w:trPr>
          <w:tblHeader w:val="true"/>
        </w:trPr>
        <w:tc>
          <w:tcPr>
            <w:tcW w:type="dxa" w:w="481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Usage</w:t>
            </w:r>
          </w:p>
        </w:tc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Qualification</w:t>
            </w:r>
          </w:p>
        </w:tc>
        <w:tc>
          <w:tcPr>
            <w:tcW w:type="dxa" w:w="5783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Règle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Préparer supports, cas pratiques, plannings de formation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Risque minimal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2"/>
              </w:rPr>
              <w:t>Autorisé, relecture humaine (charte YEBA-DOC-11)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E8EEF7"/>
          </w:tcPr>
          <w:p>
            <w:r/>
            <w:r>
              <w:rPr>
                <w:b w:val="0"/>
                <w:sz w:val="22"/>
              </w:rPr>
              <w:t>Sélection des candidats, notation, orientation, surveillance d'examen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Haut risque (annexe III, point 3)</w:t>
            </w:r>
          </w:p>
        </w:tc>
        <w:tc>
          <w:tcPr>
            <w:tcW w:type="dxa" w:w="5783"/>
            <w:shd w:val="clear" w:color="auto" w:fill="E8EEF7"/>
          </w:tcPr>
          <w:p>
            <w:r/>
            <w:r>
              <w:rPr>
                <w:b w:val="0"/>
                <w:sz w:val="22"/>
              </w:rPr>
              <w:t>Interdit chez YEBA FORMATIONS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Reconnaissance des émotions des stagiaires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Pratique interdite (art. 5)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2"/>
              </w:rPr>
              <w:t>Interdit par la loi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E8EEF7"/>
          </w:tcPr>
          <w:p>
            <w:r/>
            <w:r>
              <w:rPr>
                <w:b w:val="0"/>
                <w:sz w:val="22"/>
              </w:rPr>
              <w:t>Module T1 « IA » des parcours</w:t>
            </w:r>
          </w:p>
        </w:tc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Maîtrise de l'IA (art. 4)</w:t>
            </w:r>
          </w:p>
        </w:tc>
        <w:tc>
          <w:tcPr>
            <w:tcW w:type="dxa" w:w="5783"/>
            <w:shd w:val="clear" w:color="auto" w:fill="E8EEF7"/>
          </w:tcPr>
          <w:p>
            <w:r/>
            <w:r>
              <w:rPr>
                <w:b w:val="0"/>
                <w:sz w:val="22"/>
              </w:rPr>
              <w:t>Contenu conforme à la charte YEBA-DOC-11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Productions d'examen rédigées avec une IA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Transparence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22"/>
              </w:rPr>
              <w:t>Usage déclaré par le stagiaire ; travail personnel exigé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RGPD-01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Complément au registre des traitements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