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Matrice des preuves Qualiopi</w:t>
      </w:r>
    </w:p>
    <w:p>
      <w:r>
        <w:rPr>
          <w:b/>
          <w:color w:val="1B3A6B"/>
          <w:sz w:val="28"/>
        </w:rPr>
        <w:t>Quel document prouve quel indicateur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Certificat 25FOR02027.1. Libellés abrégés : se référer au référentiel national qualité et à son guide de lecture pour la formulation exacte. Périmètre : actions de formation, bilans de compétences, actions permettant de faire valider les acquis de l'expérience, actions de formation par apprentissage ; validité du 17/02/2026 au 16/02/2029, sous réserve de l'audit de surveillance. Audit de surveillance à prévoir entre le 14e et le 22e mois, soit entre le 17/04/2027 et le 17/12/2027 </w:t>
      </w:r>
      <w:r>
        <w:rPr>
          <w:b/>
          <w:i/>
          <w:color w:val="1B3A6B"/>
          <w:u w:val="single"/>
        </w:rPr>
        <w:t>[À VÉRIFIER avec Qualitia]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5103"/>
        <w:gridCol w:w="2438"/>
        <w:gridCol w:w="5103"/>
        <w:gridCol w:w="1134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Indicateur (libellé abrégé)</w:t>
            </w:r>
          </w:p>
        </w:tc>
        <w:tc>
          <w:tcPr>
            <w:tcW w:type="dxa" w:w="243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Applicable</w:t>
            </w:r>
          </w:p>
        </w:tc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Preuves dans le dossier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Prête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Information du public sur les prestations, délais d'accès et résultats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PRG-MEM, PRG-RPMS, PRES-01, CGV YEBA-DOC-03, site internet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résultats publiés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PIL-03 (indicateurs), page résultats du site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Taux d'obtention des certifications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PIL-03, PRG (résultats nationaux puis YEBA)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du besoin du bénéficiaire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FI-01, POS-02 (compte rendu d'entretien)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Objectifs opérationnels et évaluables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REAC-MEM, REAC-RPMS (objectifs par séquence)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Contenus et modalités adaptés aux objectifs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DP-MEM, DP-RPMS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Adéquation du contenu aux exigences de la certification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REAC-MEM, REAC-RPMS (correspondance CP / modules / épreuves)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à l'entrée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POS-02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Information sur les conditions de déroulement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LIV-MEM, LIV-RPMS, CONVOC-16, YEBA-DOC-04 et avenant RI-06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Adaptation de la prestation, accompagnement et suivi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ABS-13, LIAI-17, bilan de mi-parcours (T6)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Évaluation de l'atteinte des objectifs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Évaluations formatives (à concevoir avec les supports), épreuves blanches T5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Engagement des bénéficiaires et prévention des abandons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ABS-13, PIL-03 (absences)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Coordination centre / entreprise en alternance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 (périodes en entreprise)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GPE-MEM, GPE-RPMS, PAE-14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Exercice de la citoyenneté (apprentis)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Droits et devoirs des apprentis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Conditions de présentation à la certification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PRG, LIV (épreuves et productions), AGR-03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Moyens humains, techniques et locaux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PRES-01, fiche site tiers YEBA-DOC-15 remplie pour le Secrétariat Center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Coordination des intervenants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Planning des intervenants, réunions pédagogiques (comptes rendus)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Ressources pédagogiques mises à disposition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Supports de cours (à produire)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Référents mobilité, handicap, conseil de perfectionnement (CFA)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Compétences des intervenants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CV, diplômes et certifications des formateurs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Développement des compétences des intervenants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formation des formateurs, charte IA YEBA-DOC-11 signée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Veille légale et réglementaire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Registre de veille (textes, arrêtés des titres)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sur les emplois, métiers et compétences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Registre de veille (REAC, données emploi)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Veille sur les innovations pédagogiques et technologiques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Registre de veille (IA, outils)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 des personnes en situation de handicap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YEBA-DOC-08, HAND-12, convention ou contact Agefiph / RHF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Respect du référentiel en cas de sous-traitance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Si sous-traitance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Convention de sous-traitance YEBA-DOC-07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Mobilisation des acteurs du milieu professionnel (alternance)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 (périodes en entreprise)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Vivier d'entreprises d'accueil, GPE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Insertion professionnelle (CFA)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30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Recueil des appréciations des parties prenantes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EVAL-10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31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Traitement des réclamations et difficultés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YEBA-DOC-09, table ALERTES &amp; TÂCHES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32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Mesures d'amélioration continue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YEBA-DOC-09 (actions correctives), revue annuelle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QUA-02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 des preuves Qualiopi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