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Socle documentaire et écarts à corriger</w:t>
      </w:r>
    </w:p>
    <w:p>
      <w:r>
        <w:rPr>
          <w:b/>
          <w:color w:val="1B3A6B"/>
          <w:sz w:val="28"/>
        </w:rPr>
        <w:t>Articulation avec les documents officiels YEBA et la base Airtable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La table « DOCUMENTS OFFICIELS YEBA » d'Airtable reste la source unique de vérité. Les documents du présent dossier la complètent pour les parcours certifiants, sans la dupliquer.</w:t>
      </w:r>
    </w:p>
    <w:p>
      <w:pPr>
        <w:pStyle w:val="Heading1"/>
      </w:pPr>
      <w:r>
        <w:t>1. Quel document officiel utiliser, et quand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4252"/>
        <w:gridCol w:w="1701"/>
        <w:gridCol w:w="6690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Référence</w:t>
            </w:r>
          </w:p>
        </w:tc>
        <w:tc>
          <w:tcPr>
            <w:tcW w:type="dxa" w:w="425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Document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Statut</w:t>
            </w:r>
          </w:p>
        </w:tc>
        <w:tc>
          <w:tcPr>
            <w:tcW w:type="dxa" w:w="669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Usage dans les parcours certifiants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YEBA-DOC-02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Politique de confidentialité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Remise à l'inscription ; annexe de la convention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YEBA-DOC-03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Conditions générales de vente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Incomplet</w:t>
            </w:r>
          </w:p>
        </w:tc>
        <w:tc>
          <w:tcPr>
            <w:tcW w:type="dxa" w:w="6690"/>
            <w:shd w:val="clear" w:color="auto" w:fill="E8EEF7"/>
          </w:tcPr>
          <w:p>
            <w:r/>
            <w:r>
              <w:rPr>
                <w:b w:val="0"/>
                <w:sz w:val="22"/>
              </w:rPr>
              <w:t>Annexe de la convention, avec les conditions particulières CP-05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YEBA-DOC-04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Règlement intérieur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Remis avant l'entrée, avec l'avenant RI-06 ; affiché dans la salle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YEBA-DOC-05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Convention de formation (formations courtes)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Incomplet</w:t>
            </w:r>
          </w:p>
        </w:tc>
        <w:tc>
          <w:tcPr>
            <w:tcW w:type="dxa" w:w="6690"/>
            <w:shd w:val="clear" w:color="auto" w:fill="E8EEF7"/>
          </w:tcPr>
          <w:p>
            <w:r/>
            <w:r>
              <w:rPr>
                <w:b w:val="0"/>
                <w:sz w:val="22"/>
              </w:rPr>
              <w:t>Remplacée par CONV-03 pour les parcours certifiants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YEBA-DOC-06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Contrat particulier (formations courtes)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Incomplet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Remplacé par CTR-04 pour les parcours certifiants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YEBA-DOC-08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Politique handicap et accessibilité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  <w:shd w:val="clear" w:color="auto" w:fill="E8EEF7"/>
          </w:tcPr>
          <w:p>
            <w:r/>
            <w:r>
              <w:rPr>
                <w:b w:val="0"/>
                <w:sz w:val="22"/>
              </w:rPr>
              <w:t>Remise à l'inscription ; complétée par HAND-12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YEBA-DOC-09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Procédure de réclamation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Incomplet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Remise à l'entrée ; annexe de la convention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YEBA-DOC-11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Charte d'usage de l'IA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  <w:shd w:val="clear" w:color="auto" w:fill="E8EEF7"/>
          </w:tcPr>
          <w:p>
            <w:r/>
            <w:r>
              <w:rPr>
                <w:b w:val="0"/>
                <w:sz w:val="22"/>
              </w:rPr>
              <w:t>Remise à l'entrée ; signée par les formateurs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YEBA-DOC-14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Procédure violences, harcèlement, discriminations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À valider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Citée dans SST-18 ; à valider avant la 1re promotion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YEBA-DOC-15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Fiche site d'accueil tiers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  <w:shd w:val="clear" w:color="auto" w:fill="E8EEF7"/>
          </w:tcPr>
          <w:p>
            <w:r/>
            <w:r>
              <w:rPr>
                <w:b w:val="0"/>
                <w:sz w:val="22"/>
              </w:rPr>
              <w:t>À remplir pour le Secrétariat Center avant la 1re session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YEBA-DOC-16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Registre des traitements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Incomplet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À compléter avec RGPD-01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YEBA-DOC-17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Attestation de fin de formation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  <w:shd w:val="clear" w:color="auto" w:fill="E8EEF7"/>
          </w:tcPr>
          <w:p>
            <w:r/>
            <w:r>
              <w:rPr>
                <w:b w:val="0"/>
                <w:sz w:val="22"/>
              </w:rPr>
              <w:t>Remise en fin de parcours (heures centre et entreprise, résultats par CCP)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YEBA-DOC-18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Certificat de réalisation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En vigueur</w:t>
            </w:r>
          </w:p>
        </w:tc>
        <w:tc>
          <w:tcPr>
            <w:tcW w:type="dxa" w:w="6690"/>
          </w:tcPr>
          <w:p>
            <w:r/>
            <w:r>
              <w:rPr>
                <w:b w:val="0"/>
                <w:sz w:val="22"/>
              </w:rPr>
              <w:t>Remis au financeur</w:t>
            </w:r>
          </w:p>
        </w:tc>
      </w:tr>
    </w:tbl>
    <w:p/>
    <w:p>
      <w:pPr>
        <w:pStyle w:val="Heading1"/>
      </w:pPr>
      <w:r>
        <w:t>2. Écarts relevés le 22/10/2026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5670"/>
        <w:gridCol w:w="6747"/>
      </w:tblGrid>
      <w:tr>
        <w:trPr>
          <w:tblHeader w:val="true"/>
        </w:trPr>
        <w:tc>
          <w:tcPr>
            <w:tcW w:type="dxa" w:w="21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Sujet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Constat</w:t>
            </w:r>
          </w:p>
        </w:tc>
        <w:tc>
          <w:tcPr>
            <w:tcW w:type="dxa" w:w="674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Correction proposée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Qualiopi — catégories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Le bloc-marque de la charte et de tous les documents officiels indique « catégorie actions de formation »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Le certificat couvre les 4 catégories : mettre à jour le bloc-marque (charte, DOC-02 à DOC-18, CONFIG SYSTÈME)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Qualiopi — validité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CONFIG SYSTÈME et DOC-10 indiquent une échéance au 16/02/2027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Le certificat est valable jusqu'au 16/02/2029 ; audit de surveillance entre le 17/04/2027 et le 17/12/2027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TVA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DOC-05 et DOC-06 indiquent « exonération, art. 261-4-4° a du CGI »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Remplacer par « TVA non applicable — article 293 B du CGI » (règle de CONFIG SYSTÈME et des CGV)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Assurance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DOC-05, article 10, garde des crochets [ASSUREUR]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Reporter les données Hiscox (police HRCP300980) déjà présentes dans CONFIG SYSTÈME et les CGV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Horaires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Horaires standard 8 h 30 – 16 h 30 dans DOC-04, DOC-05, DOC-06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Conserver pour les formations courtes ; les parcours certifiants suivent 8 h 00 – 16 h 00 (avenant RI-06)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Délégués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DOC-04, article 23 : « l'ensemble des formations du catalogue » dure moins de 500 heures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Ajouter les titres professionnels (plus de 500 heures) à l'article 22, ou s'appuyer sur l'avenant RI-06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Mention EI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Le bloc-marque ne porte pas la mention « entrepreneur individuel »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Ajouter « EI » ou « entrepreneur individuel » sur les factures, devis, site et courriels (loi n° 2022-172)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Médiateur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Aucun médiateur de la consommation désigné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Adhérer avant toute signature d'un contrat avec un particulier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CPF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CONFIG SYSTÈME : « NON éligible — aucune certification RNCP/RS »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Les titres MEM et RPMS sont des certifications RNCP : à mettre à jour dès leur publication sur Mon Compte Formation</w:t>
            </w:r>
          </w:p>
        </w:tc>
      </w:tr>
      <w:tr>
        <w:trPr>
          <w:cantSplit w:val="true"/>
        </w:trPr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Logo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La charte désigne le fichier « logo-yeba-sans-oeil.svg » (nœud de connexion) ; le dossier utilise le logo PNG transmis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Tranché le 22/10/2026 : logo PNG décliné (assets/logo) ; mettre à jour la charte YEBA-IDENT-2026 et CONFIG SYSTÈME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Assurance — IA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Exclusion « intelligence artificielle » dans les conditions particulières Hiscox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Obtenir du courtier une confirmation écrite que le module IA des parcours et le conseil sont couverts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SOC-04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Socle documentaire et écarts à corriger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