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drawing>
          <wp:inline xmlns:a="http://schemas.openxmlformats.org/drawingml/2006/main" xmlns:pic="http://schemas.openxmlformats.org/drawingml/2006/picture">
            <wp:extent cx="3805369" cy="32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1"/>
                    <a:stretch>
                      <a:fillRect/>
                    </a:stretch>
                  </pic:blipFill>
                  <pic:spPr>
                    <a:xfrm>
                      <a:off x="0" y="0"/>
                      <a:ext cx="3805369" cy="3240000"/>
                    </a:xfrm>
                    <a:prstGeom prst="rect"/>
                  </pic:spPr>
                </pic:pic>
              </a:graphicData>
            </a:graphic>
          </wp:inline>
        </w:drawing>
      </w:r>
    </w:p>
    <w:p>
      <w:pPr>
        <w:spacing w:before="480"/>
        <w:jc w:val="center"/>
      </w:pPr>
      <w:r>
        <w:rPr>
          <w:b/>
          <w:color w:val="1B3A6B"/>
          <w:sz w:val="52"/>
        </w:rPr>
        <w:t>Programme de formation</w:t>
      </w:r>
    </w:p>
    <w:p>
      <w:pPr>
        <w:jc w:val="center"/>
      </w:pPr>
      <w:r>
        <w:rPr>
          <w:b/>
          <w:color w:val="8A6D1F"/>
          <w:sz w:val="32"/>
        </w:rPr>
        <w:t>Titre professionnel Manager d'établissement marchand — RNCP41853</w:t>
      </w:r>
    </w:p>
    <w:p>
      <w:pPr>
        <w:pBdr>
          <w:bottom w:val="single" w:sz="18" w:space="1" w:color="C9A94D"/>
        </w:pBdr>
      </w:pPr>
    </w:p>
    <w:p>
      <w:pPr>
        <w:jc w:val="center"/>
      </w:pPr>
      <w:r>
        <w:rPr>
          <w:b w:val="0"/>
          <w:color w:val="1B3A6B"/>
          <w:sz w:val="24"/>
        </w:rPr>
        <w:t>Secrétariat Center — 7 rue Henri Cornu — 97490 Saint-Denis</w:t>
      </w:r>
    </w:p>
    <w:p>
      <w:pPr>
        <w:jc w:val="center"/>
      </w:pPr>
      <w:r>
        <w:rPr>
          <w:b w:val="0"/>
          <w:color w:val="1B3A6B"/>
          <w:sz w:val="24"/>
        </w:rPr>
        <w:t>SIRET 814 622 262 00032  •  NDA 04973676397  •  Qualiopi 25FOR02027.1</w:t>
      </w:r>
    </w:p>
    <w:p>
      <w:r>
        <w:br w:type="page"/>
      </w:r>
    </w:p>
    <w:p>
      <w:pPr>
        <w:pStyle w:val="Heading1"/>
      </w:pPr>
      <w:r>
        <w:t>1. Identification de la certification</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B3A6B"/>
          </w:tcPr>
          <w:p>
            <w:r/>
            <w:r>
              <w:rPr>
                <w:b/>
                <w:color w:val="FFFFFF"/>
                <w:sz w:val="22"/>
              </w:rPr>
              <w:t>Rubrique</w:t>
            </w:r>
          </w:p>
        </w:tc>
        <w:tc>
          <w:tcPr>
            <w:tcW w:type="dxa" w:w="7087"/>
            <w:shd w:val="clear" w:color="auto" w:fill="1B3A6B"/>
          </w:tcPr>
          <w:p>
            <w:r/>
            <w:r>
              <w:rPr>
                <w:b/>
                <w:color w:val="FFFFFF"/>
                <w:sz w:val="22"/>
              </w:rPr>
              <w:t>Information</w:t>
            </w:r>
          </w:p>
        </w:tc>
      </w:tr>
      <w:tr>
        <w:trPr>
          <w:cantSplit w:val="true"/>
        </w:trPr>
        <w:tc>
          <w:tcPr>
            <w:tcW w:type="dxa" w:w="2551"/>
          </w:tcPr>
          <w:p>
            <w:r/>
            <w:r>
              <w:rPr>
                <w:b w:val="0"/>
                <w:sz w:val="22"/>
              </w:rPr>
              <w:t>Certification</w:t>
            </w:r>
          </w:p>
        </w:tc>
        <w:tc>
          <w:tcPr>
            <w:tcW w:type="dxa" w:w="7087"/>
          </w:tcPr>
          <w:p>
            <w:r/>
            <w:r>
              <w:rPr>
                <w:b w:val="0"/>
                <w:sz w:val="22"/>
              </w:rPr>
              <w:t>Titre professionnel Manager d'établissement marchand — RNCP41853</w:t>
            </w:r>
          </w:p>
        </w:tc>
      </w:tr>
      <w:tr>
        <w:trPr>
          <w:cantSplit w:val="true"/>
        </w:trPr>
        <w:tc>
          <w:tcPr>
            <w:tcW w:type="dxa" w:w="2551"/>
            <w:shd w:val="clear" w:color="auto" w:fill="E8EEF7"/>
          </w:tcPr>
          <w:p>
            <w:r/>
            <w:r>
              <w:rPr>
                <w:b w:val="0"/>
                <w:sz w:val="22"/>
              </w:rPr>
              <w:t>Certificateur</w:t>
            </w:r>
          </w:p>
        </w:tc>
        <w:tc>
          <w:tcPr>
            <w:tcW w:type="dxa" w:w="7087"/>
            <w:shd w:val="clear" w:color="auto" w:fill="E8EEF7"/>
          </w:tcPr>
          <w:p>
            <w:r/>
            <w:r>
              <w:rPr>
                <w:b w:val="0"/>
                <w:sz w:val="22"/>
              </w:rPr>
              <w:t>Ministère du Travail, du Plein Emploi et de l'Insertion</w:t>
            </w:r>
          </w:p>
        </w:tc>
      </w:tr>
      <w:tr>
        <w:trPr>
          <w:cantSplit w:val="true"/>
        </w:trPr>
        <w:tc>
          <w:tcPr>
            <w:tcW w:type="dxa" w:w="2551"/>
          </w:tcPr>
          <w:p>
            <w:r/>
            <w:r>
              <w:rPr>
                <w:b w:val="0"/>
                <w:sz w:val="22"/>
              </w:rPr>
              <w:t>Niveau</w:t>
            </w:r>
          </w:p>
        </w:tc>
        <w:tc>
          <w:tcPr>
            <w:tcW w:type="dxa" w:w="7087"/>
          </w:tcPr>
          <w:p>
            <w:r/>
            <w:r>
              <w:rPr>
                <w:b w:val="0"/>
                <w:sz w:val="22"/>
              </w:rPr>
              <w:t>Niveau 5 (cadre national des certifications 2019)</w:t>
            </w:r>
          </w:p>
        </w:tc>
      </w:tr>
      <w:tr>
        <w:trPr>
          <w:cantSplit w:val="true"/>
        </w:trPr>
        <w:tc>
          <w:tcPr>
            <w:tcW w:type="dxa" w:w="2551"/>
            <w:shd w:val="clear" w:color="auto" w:fill="E8EEF7"/>
          </w:tcPr>
          <w:p>
            <w:r/>
            <w:r>
              <w:rPr>
                <w:b w:val="0"/>
                <w:sz w:val="22"/>
              </w:rPr>
              <w:t>Texte de référence</w:t>
            </w:r>
          </w:p>
        </w:tc>
        <w:tc>
          <w:tcPr>
            <w:tcW w:type="dxa" w:w="7087"/>
            <w:shd w:val="clear" w:color="auto" w:fill="E8EEF7"/>
          </w:tcPr>
          <w:p>
            <w:r/>
            <w:r>
              <w:rPr>
                <w:b w:val="0"/>
                <w:sz w:val="22"/>
              </w:rPr>
              <w:t>Arrêté du 4 décembre 2025 (JO du 07/12/2025) — effet au 03/03/2026, enregistrement jusqu'au 02/03/2031</w:t>
            </w:r>
          </w:p>
        </w:tc>
      </w:tr>
      <w:tr>
        <w:trPr>
          <w:cantSplit w:val="true"/>
        </w:trPr>
        <w:tc>
          <w:tcPr>
            <w:tcW w:type="dxa" w:w="2551"/>
          </w:tcPr>
          <w:p>
            <w:r/>
            <w:r>
              <w:rPr>
                <w:b w:val="0"/>
                <w:sz w:val="22"/>
              </w:rPr>
              <w:t>Référentiels</w:t>
            </w:r>
          </w:p>
        </w:tc>
        <w:tc>
          <w:tcPr>
            <w:tcW w:type="dxa" w:w="7087"/>
          </w:tcPr>
          <w:p>
            <w:r/>
            <w:r>
              <w:rPr>
                <w:b w:val="0"/>
                <w:sz w:val="22"/>
              </w:rPr>
              <w:t>REAC MEM — TP-00136 — millésime 09 du 10/12/2025 ; référentiel d'évaluation millésime 09</w:t>
            </w:r>
          </w:p>
        </w:tc>
      </w:tr>
      <w:tr>
        <w:trPr>
          <w:cantSplit w:val="true"/>
        </w:trPr>
        <w:tc>
          <w:tcPr>
            <w:tcW w:type="dxa" w:w="2551"/>
            <w:shd w:val="clear" w:color="auto" w:fill="E8EEF7"/>
          </w:tcPr>
          <w:p>
            <w:r/>
            <w:r>
              <w:rPr>
                <w:b w:val="0"/>
                <w:sz w:val="22"/>
              </w:rPr>
              <w:t>Codes ROME</w:t>
            </w:r>
          </w:p>
        </w:tc>
        <w:tc>
          <w:tcPr>
            <w:tcW w:type="dxa" w:w="7087"/>
            <w:shd w:val="clear" w:color="auto" w:fill="E8EEF7"/>
          </w:tcPr>
          <w:p>
            <w:r/>
            <w:r>
              <w:rPr>
                <w:b w:val="0"/>
                <w:sz w:val="22"/>
              </w:rPr>
              <w:t>D1502, D1503, D1508, D1509, D1510</w:t>
            </w:r>
          </w:p>
        </w:tc>
      </w:tr>
      <w:tr>
        <w:trPr>
          <w:cantSplit w:val="true"/>
        </w:trPr>
        <w:tc>
          <w:tcPr>
            <w:tcW w:type="dxa" w:w="2551"/>
          </w:tcPr>
          <w:p>
            <w:r/>
            <w:r>
              <w:rPr>
                <w:b w:val="0"/>
                <w:sz w:val="22"/>
              </w:rPr>
              <w:t>Code NSF</w:t>
            </w:r>
          </w:p>
        </w:tc>
        <w:tc>
          <w:tcPr>
            <w:tcW w:type="dxa" w:w="7087"/>
          </w:tcPr>
          <w:p>
            <w:r/>
            <w:r>
              <w:rPr>
                <w:b w:val="0"/>
                <w:sz w:val="22"/>
              </w:rPr>
              <w:t>312m — Commerce, vente</w:t>
            </w:r>
          </w:p>
        </w:tc>
      </w:tr>
      <w:tr>
        <w:trPr>
          <w:cantSplit w:val="true"/>
        </w:trPr>
        <w:tc>
          <w:tcPr>
            <w:tcW w:type="dxa" w:w="2551"/>
            <w:shd w:val="clear" w:color="auto" w:fill="E8EEF7"/>
          </w:tcPr>
          <w:p>
            <w:r/>
            <w:r>
              <w:rPr>
                <w:b w:val="0"/>
                <w:sz w:val="22"/>
              </w:rPr>
              <w:t>Formacodes</w:t>
            </w:r>
          </w:p>
        </w:tc>
        <w:tc>
          <w:tcPr>
            <w:tcW w:type="dxa" w:w="7087"/>
            <w:shd w:val="clear" w:color="auto" w:fill="E8EEF7"/>
          </w:tcPr>
          <w:p>
            <w:r/>
            <w:r>
              <w:rPr>
                <w:b w:val="0"/>
                <w:sz w:val="22"/>
              </w:rPr>
              <w:t>34566, 34587, 34588, 34559, 34502</w:t>
            </w:r>
          </w:p>
        </w:tc>
      </w:tr>
      <w:tr>
        <w:trPr>
          <w:cantSplit w:val="true"/>
        </w:trPr>
        <w:tc>
          <w:tcPr>
            <w:tcW w:type="dxa" w:w="2551"/>
          </w:tcPr>
          <w:p>
            <w:r/>
            <w:r>
              <w:rPr>
                <w:b w:val="0"/>
                <w:sz w:val="22"/>
              </w:rPr>
              <w:t>Organisme</w:t>
            </w:r>
          </w:p>
        </w:tc>
        <w:tc>
          <w:tcPr>
            <w:tcW w:type="dxa" w:w="7087"/>
          </w:tcPr>
          <w:p>
            <w:r/>
            <w:r>
              <w:rPr>
                <w:b w:val="0"/>
                <w:sz w:val="22"/>
              </w:rPr>
              <w:t>YEBA FORMATIONS — Entreprise individuelle — SIRET 814 622 262 00032 — NDA 04973676397 — Qualiopi 25FOR02027.1</w:t>
            </w:r>
          </w:p>
        </w:tc>
      </w:tr>
    </w:tbl>
    <w:p/>
    <w:p>
      <w:pPr>
        <w:pStyle w:val="Heading1"/>
      </w:pPr>
      <w:r>
        <w:t>2. Public, prérequis et admission</w:t>
      </w:r>
    </w:p>
    <w:p>
      <w:r>
        <w:rPr>
          <w:b w:val="0"/>
        </w:rPr>
        <w:t>Demandeurs d'emploi orientés par France Travail ou les Missions Locales, salariés du commerce en évolution vers l'encadrement, personnes en reconversion, personnes en situation de handicap (parcours adapté).</w:t>
      </w:r>
    </w:p>
    <w:p>
      <w:pPr>
        <w:pStyle w:val="ListBullet"/>
      </w:pPr>
      <w:r>
        <w:rPr>
          <w:b w:val="0"/>
        </w:rPr>
        <w:t>Aucun prérequis réglementaire n'est fixé par le titre.</w:t>
      </w:r>
    </w:p>
    <w:p>
      <w:pPr>
        <w:pStyle w:val="ListBullet"/>
      </w:pPr>
      <w:r>
        <w:rPr>
          <w:b w:val="0"/>
        </w:rPr>
        <w:t>Critères d'admission YEBA FORMATIONS : une première expérience en vente, commerce ou relation client (y compris job étudiant ou stage), OU un niveau 4 (baccalauréat) ; maîtrise du français écrit et oral ; bases de l'outil informatique.</w:t>
      </w:r>
    </w:p>
    <w:p>
      <w:pPr>
        <w:pStyle w:val="ListBullet"/>
      </w:pPr>
      <w:r>
        <w:rPr>
          <w:b w:val="0"/>
        </w:rPr>
        <w:t>Admission après : information collective, positionnement et entretien individuel de motivation.</w:t>
      </w:r>
    </w:p>
    <w:p>
      <w:pPr>
        <w:pStyle w:val="Heading3"/>
      </w:pPr>
      <w:r>
        <w:t>Délais d'accès</w:t>
      </w:r>
    </w:p>
    <w:p>
      <w:pPr>
        <w:pStyle w:val="ListBullet"/>
      </w:pPr>
      <w:r>
        <w:rPr>
          <w:b w:val="0"/>
        </w:rPr>
        <w:t>Informations collectives : au moins deux, entre 3 et 1 mois avant le démarrage.</w:t>
      </w:r>
    </w:p>
    <w:p>
      <w:pPr>
        <w:pStyle w:val="ListBullet"/>
      </w:pPr>
      <w:r>
        <w:rPr>
          <w:b w:val="0"/>
        </w:rPr>
        <w:t>Réponse écrite à chaque candidature sous 10 jours ouvrés après l'entretien.</w:t>
      </w:r>
    </w:p>
    <w:p>
      <w:pPr>
        <w:pStyle w:val="ListBullet"/>
      </w:pPr>
      <w:r>
        <w:rPr>
          <w:b w:val="0"/>
        </w:rPr>
        <w:t>Inscription possible jusqu'à 10 jours ouvrés avant le démarrage, sous réserve de places et de financement.</w:t>
      </w:r>
    </w:p>
    <w:p>
      <w:pPr>
        <w:pStyle w:val="ListBullet"/>
      </w:pPr>
      <w:r>
        <w:rPr>
          <w:b w:val="0"/>
        </w:rPr>
        <w:t xml:space="preserve">Financement CPF : respect du délai imposé par Mon Compte Formation entre la proposition et l'entrée </w:t>
      </w:r>
      <w:r>
        <w:rPr>
          <w:b/>
          <w:i/>
          <w:color w:val="8A6D1F"/>
        </w:rPr>
        <w:t>[À VÉRIFIER : délai en vigueur]</w:t>
      </w:r>
      <w:r>
        <w:rPr>
          <w:b w:val="0"/>
        </w:rPr>
        <w:t>.</w:t>
      </w:r>
    </w:p>
    <w:p>
      <w:pPr>
        <w:pStyle w:val="Heading1"/>
      </w:pPr>
      <w:r>
        <w:t>3. Objectifs de la formation</w:t>
      </w:r>
    </w:p>
    <w:p>
      <w:r>
        <w:rPr>
          <w:b w:val="0"/>
        </w:rPr>
        <w:t>À l'issue de la formation, le stagiaire est capable d'exercer l'emploi de manager d'établissement marchand et de se présenter aux épreuves du titre professionnel. Les objectifs reprennent les compétences professionnelles du référentiel :</w:t>
      </w:r>
    </w:p>
    <w:p>
      <w:pPr>
        <w:pStyle w:val="Heading3"/>
      </w:pPr>
      <w:r>
        <w:t>CCP1 — Manager l'équipe de son périmètre au sein de l'établissement marchand</w:t>
      </w:r>
    </w:p>
    <w:p>
      <w:pPr>
        <w:pStyle w:val="ListBullet"/>
      </w:pPr>
      <w:r>
        <w:rPr>
          <w:b w:val="0"/>
        </w:rPr>
        <w:t>Animer l'équipe de son périmètre : Mobiliser l'équipe et favoriser sa cohésion autour des objectifs de l'établissement.</w:t>
      </w:r>
    </w:p>
    <w:p>
      <w:pPr>
        <w:pStyle w:val="ListBullet"/>
      </w:pPr>
      <w:r>
        <w:rPr>
          <w:b w:val="0"/>
        </w:rPr>
        <w:t>Planifier et coordonner l'activité de l'équipe : Élaborer et ajuster des plannings conformes à la réglementation et à l'activité prévue.</w:t>
      </w:r>
    </w:p>
    <w:p>
      <w:pPr>
        <w:pStyle w:val="ListBullet"/>
      </w:pPr>
      <w:r>
        <w:rPr>
          <w:b w:val="0"/>
        </w:rPr>
        <w:t>Accompagner la performance individuelle des collaborateurs : Évaluer les compétences et accompagner la progression de chaque collaborateur.</w:t>
      </w:r>
    </w:p>
    <w:p>
      <w:pPr>
        <w:pStyle w:val="ListBullet"/>
      </w:pPr>
      <w:r>
        <w:rPr>
          <w:b w:val="0"/>
        </w:rPr>
        <w:t>Contribuer au recrutement et à l'intégration : Participer au recrutement et réussir l'intégration d'une nouvelle recrue.</w:t>
      </w:r>
    </w:p>
    <w:p>
      <w:pPr>
        <w:pStyle w:val="Heading3"/>
      </w:pPr>
      <w:r>
        <w:t>CCP2 — Développer la dynamique commerciale de son périmètre au sein de l'établissement marchand</w:t>
      </w:r>
    </w:p>
    <w:p>
      <w:pPr>
        <w:pStyle w:val="ListBullet"/>
      </w:pPr>
      <w:r>
        <w:rPr>
          <w:b w:val="0"/>
        </w:rPr>
        <w:t>Gérer l'approvisionnement de son périmètre : Anticiper les besoins, commander, réceptionner et stocker en limitant le gaspillage.</w:t>
      </w:r>
    </w:p>
    <w:p>
      <w:pPr>
        <w:pStyle w:val="ListBullet"/>
      </w:pPr>
      <w:r>
        <w:rPr>
          <w:b w:val="0"/>
        </w:rPr>
        <w:t>Organiser et mettre en œuvre le merchandising : Implanter l'offre et conduire des opérations commerciales cohérentes avec les objectifs.</w:t>
      </w:r>
    </w:p>
    <w:p>
      <w:pPr>
        <w:pStyle w:val="ListBullet"/>
      </w:pPr>
      <w:r>
        <w:rPr>
          <w:b w:val="0"/>
        </w:rPr>
        <w:t>Participer à l'amélioration de l'expérience client : Identifier les attentes des clients et améliorer leur satisfaction sur tous les canaux.</w:t>
      </w:r>
    </w:p>
    <w:p>
      <w:pPr>
        <w:pStyle w:val="Heading3"/>
      </w:pPr>
      <w:r>
        <w:t>CCP3 — Contribuer à la performance commerciale et à la rentabilité de son périmètre au sein de l'établissement marchand</w:t>
      </w:r>
    </w:p>
    <w:p>
      <w:pPr>
        <w:pStyle w:val="ListBullet"/>
      </w:pPr>
      <w:r>
        <w:rPr>
          <w:b w:val="0"/>
        </w:rPr>
        <w:t>Analyser la performance commerciale de son périmètre : Collecter, calculer et analyser les indicateurs commerciaux, puis alerter sa hiérarchie.</w:t>
      </w:r>
    </w:p>
    <w:p>
      <w:pPr>
        <w:pStyle w:val="ListBullet"/>
      </w:pPr>
      <w:r>
        <w:rPr>
          <w:b w:val="0"/>
        </w:rPr>
        <w:t>Analyser la rentabilité de son périmètre : Calculer et interpréter les indicateurs de rentabilité et formuler des pistes d'optimisation.</w:t>
      </w:r>
    </w:p>
    <w:p>
      <w:pPr>
        <w:pStyle w:val="ListBullet"/>
      </w:pPr>
      <w:r>
        <w:rPr>
          <w:b w:val="0"/>
        </w:rPr>
        <w:t>Proposer des actions correctives et suivre le plan d'actions : Proposer à sa hiérarchie un plan d'actions réaliste et en assurer le suivi.</w:t>
      </w:r>
    </w:p>
    <w:p>
      <w:pPr>
        <w:pStyle w:val="Heading3"/>
      </w:pPr>
      <w:r>
        <w:t>Compétences complémentaires (plus-value YEBA FORMATIONS)</w:t>
      </w:r>
    </w:p>
    <w:p>
      <w:pPr>
        <w:pStyle w:val="ListBullet"/>
      </w:pPr>
      <w:r>
        <w:rPr>
          <w:b w:val="0"/>
        </w:rPr>
        <w:t>Accueil, intégration et positionnement (14 h) : Comprendre le parcours, ses règles et ses exigences, et situer ses acquis de départ.</w:t>
      </w:r>
    </w:p>
    <w:p>
      <w:pPr>
        <w:pStyle w:val="ListBullet"/>
      </w:pPr>
      <w:r>
        <w:rPr>
          <w:b w:val="0"/>
        </w:rPr>
        <w:t>Outils bureautiques et tableur (21 h) : Utiliser le traitement de texte et le tableur au niveau exigé par les épreuves du titre.</w:t>
      </w:r>
    </w:p>
    <w:p>
      <w:pPr>
        <w:pStyle w:val="ListBullet"/>
      </w:pPr>
      <w:r>
        <w:rPr>
          <w:b w:val="0"/>
        </w:rPr>
        <w:t>Préparer la période en entreprise (14 h) : Trouver la structure d'accueil et préparer la collecte des éléments exigés par les productions d'examen.</w:t>
      </w:r>
    </w:p>
    <w:p>
      <w:pPr>
        <w:pStyle w:val="ListBullet"/>
      </w:pPr>
      <w:r>
        <w:rPr>
          <w:b w:val="0"/>
        </w:rPr>
        <w:t>Bilan individuel de mi-parcours (7 h) : Faire le point sur sa progression, ses freins et son projet avant la période en entreprise.</w:t>
      </w:r>
    </w:p>
    <w:p>
      <w:pPr>
        <w:pStyle w:val="ListBullet"/>
      </w:pPr>
      <w:r>
        <w:rPr>
          <w:b w:val="0"/>
        </w:rPr>
        <w:t>IA appliquée au management et au commerce (42 h) : Utiliser l'IA générative de façon utile, vérifiée et conforme au RGPD et à l'IA Act.</w:t>
      </w:r>
    </w:p>
    <w:p>
      <w:pPr>
        <w:pStyle w:val="ListBullet"/>
      </w:pPr>
      <w:r>
        <w:rPr>
          <w:b w:val="0"/>
        </w:rPr>
        <w:t>Productions d'examen et dossier professionnel (21 h) : Finaliser les deux documents, les deux diaporamas et le dossier professionnel exigés par le référentiel d'évaluation.</w:t>
      </w:r>
    </w:p>
    <w:p>
      <w:pPr>
        <w:pStyle w:val="ListBullet"/>
      </w:pPr>
      <w:r>
        <w:rPr>
          <w:b w:val="0"/>
        </w:rPr>
        <w:t>Entraînement aux épreuves du titre (21 h) : Se présenter à la session de validation dans les conditions réelles.</w:t>
      </w:r>
    </w:p>
    <w:p>
      <w:pPr>
        <w:pStyle w:val="Heading1"/>
      </w:pPr>
      <w:r>
        <w:t>4. Durée, dates, horaires et lieu</w:t>
      </w:r>
    </w:p>
    <w:tbl>
      <w:tblPr>
        <w:tblStyle w:val="TableGrid"/>
        <w:tblW w:type="auto" w:w="0"/>
        <w:jc w:val="center"/>
        <w:tblLayout w:type="fixed"/>
        <w:tblLook w:firstColumn="1" w:firstRow="1" w:lastColumn="0" w:lastRow="0" w:noHBand="0" w:noVBand="1" w:val="04A0"/>
      </w:tblPr>
      <w:tblGrid>
        <w:gridCol w:w="2551"/>
        <w:gridCol w:w="7087"/>
      </w:tblGrid>
      <w:tr>
        <w:trPr>
          <w:tblHeader w:val="true"/>
        </w:trPr>
        <w:tc>
          <w:tcPr>
            <w:tcW w:type="dxa" w:w="2551"/>
            <w:shd w:val="clear" w:color="auto" w:fill="1B3A6B"/>
          </w:tcPr>
          <w:p>
            <w:r/>
            <w:r>
              <w:rPr>
                <w:b/>
                <w:color w:val="FFFFFF"/>
                <w:sz w:val="22"/>
              </w:rPr>
              <w:t>Élément</w:t>
            </w:r>
          </w:p>
        </w:tc>
        <w:tc>
          <w:tcPr>
            <w:tcW w:type="dxa" w:w="7087"/>
            <w:shd w:val="clear" w:color="auto" w:fill="1B3A6B"/>
          </w:tcPr>
          <w:p>
            <w:r/>
            <w:r>
              <w:rPr>
                <w:b/>
                <w:color w:val="FFFFFF"/>
                <w:sz w:val="22"/>
              </w:rPr>
              <w:t>Valeur</w:t>
            </w:r>
          </w:p>
        </w:tc>
      </w:tr>
      <w:tr>
        <w:trPr>
          <w:cantSplit w:val="true"/>
        </w:trPr>
        <w:tc>
          <w:tcPr>
            <w:tcW w:type="dxa" w:w="2551"/>
          </w:tcPr>
          <w:p>
            <w:r/>
            <w:r>
              <w:rPr>
                <w:b w:val="0"/>
                <w:sz w:val="22"/>
              </w:rPr>
              <w:t>Durée en centre</w:t>
            </w:r>
          </w:p>
        </w:tc>
        <w:tc>
          <w:tcPr>
            <w:tcW w:type="dxa" w:w="7087"/>
          </w:tcPr>
          <w:p>
            <w:r/>
            <w:r>
              <w:rPr>
                <w:b w:val="0"/>
                <w:sz w:val="22"/>
              </w:rPr>
              <w:t>560 heures (80 jours de 7 h)</w:t>
            </w:r>
          </w:p>
        </w:tc>
      </w:tr>
      <w:tr>
        <w:trPr>
          <w:cantSplit w:val="true"/>
        </w:trPr>
        <w:tc>
          <w:tcPr>
            <w:tcW w:type="dxa" w:w="2551"/>
            <w:shd w:val="clear" w:color="auto" w:fill="E8EEF7"/>
          </w:tcPr>
          <w:p>
            <w:r/>
            <w:r>
              <w:rPr>
                <w:b w:val="0"/>
                <w:sz w:val="22"/>
              </w:rPr>
              <w:t>Période en entreprise</w:t>
            </w:r>
          </w:p>
        </w:tc>
        <w:tc>
          <w:tcPr>
            <w:tcW w:type="dxa" w:w="7087"/>
            <w:shd w:val="clear" w:color="auto" w:fill="E8EEF7"/>
          </w:tcPr>
          <w:p>
            <w:r/>
            <w:r>
              <w:rPr>
                <w:b w:val="0"/>
                <w:sz w:val="22"/>
              </w:rPr>
              <w:t>280 heures — 280 h minimum pour le titre (140 h pour le CCP « Manager l'équipe », 140 h pour le CCP « Contribuer à la performance ») — référentiel d'évaluation MEM v09</w:t>
            </w:r>
          </w:p>
        </w:tc>
      </w:tr>
      <w:tr>
        <w:trPr>
          <w:cantSplit w:val="true"/>
        </w:trPr>
        <w:tc>
          <w:tcPr>
            <w:tcW w:type="dxa" w:w="2551"/>
          </w:tcPr>
          <w:p>
            <w:r/>
            <w:r>
              <w:rPr>
                <w:b w:val="0"/>
                <w:sz w:val="22"/>
              </w:rPr>
              <w:t>Durée totale</w:t>
            </w:r>
          </w:p>
        </w:tc>
        <w:tc>
          <w:tcPr>
            <w:tcW w:type="dxa" w:w="7087"/>
          </w:tcPr>
          <w:p>
            <w:r/>
            <w:r>
              <w:rPr>
                <w:b w:val="0"/>
                <w:sz w:val="22"/>
              </w:rPr>
              <w:t>840 heures, hors session d'examen</w:t>
            </w:r>
          </w:p>
        </w:tc>
      </w:tr>
      <w:tr>
        <w:trPr>
          <w:cantSplit w:val="true"/>
        </w:trPr>
        <w:tc>
          <w:tcPr>
            <w:tcW w:type="dxa" w:w="2551"/>
            <w:shd w:val="clear" w:color="auto" w:fill="E8EEF7"/>
          </w:tcPr>
          <w:p>
            <w:r/>
            <w:r>
              <w:rPr>
                <w:b w:val="0"/>
                <w:sz w:val="22"/>
              </w:rPr>
              <w:t>Dates proposées</w:t>
            </w:r>
          </w:p>
        </w:tc>
        <w:tc>
          <w:tcPr>
            <w:tcW w:type="dxa" w:w="7087"/>
            <w:shd w:val="clear" w:color="auto" w:fill="E8EEF7"/>
          </w:tcPr>
          <w:p>
            <w:r/>
            <w:r>
              <w:rPr>
                <w:b w:val="0"/>
                <w:sz w:val="22"/>
              </w:rPr>
              <w:t>du lundi 1 mars 2027 au jeudi 19 août 2027</w:t>
            </w:r>
          </w:p>
        </w:tc>
      </w:tr>
      <w:tr>
        <w:trPr>
          <w:cantSplit w:val="true"/>
        </w:trPr>
        <w:tc>
          <w:tcPr>
            <w:tcW w:type="dxa" w:w="2551"/>
          </w:tcPr>
          <w:p>
            <w:r/>
            <w:r>
              <w:rPr>
                <w:b w:val="0"/>
                <w:sz w:val="22"/>
              </w:rPr>
              <w:t>Session d'examen</w:t>
            </w:r>
          </w:p>
        </w:tc>
        <w:tc>
          <w:tcPr>
            <w:tcW w:type="dxa" w:w="7087"/>
          </w:tcPr>
          <w:p>
            <w:r/>
            <w:r>
              <w:rPr>
                <w:b w:val="0"/>
                <w:sz w:val="22"/>
              </w:rPr>
              <w:t xml:space="preserve">semaine du 23/08/2027 au 27/08/2027 </w:t>
            </w:r>
            <w:r>
              <w:rPr>
                <w:b/>
                <w:i/>
                <w:color w:val="8A6D1F"/>
                <w:sz w:val="22"/>
              </w:rPr>
              <w:t>[À VÉRIFIER : date fixée avec la DEETS ou le centre agréé]</w:t>
            </w:r>
          </w:p>
        </w:tc>
      </w:tr>
      <w:tr>
        <w:trPr>
          <w:cantSplit w:val="true"/>
        </w:trPr>
        <w:tc>
          <w:tcPr>
            <w:tcW w:type="dxa" w:w="2551"/>
            <w:shd w:val="clear" w:color="auto" w:fill="E8EEF7"/>
          </w:tcPr>
          <w:p>
            <w:r/>
            <w:r>
              <w:rPr>
                <w:b w:val="0"/>
                <w:sz w:val="22"/>
              </w:rPr>
              <w:t>Horaires</w:t>
            </w:r>
          </w:p>
        </w:tc>
        <w:tc>
          <w:tcPr>
            <w:tcW w:type="dxa" w:w="7087"/>
            <w:shd w:val="clear" w:color="auto" w:fill="E8EEF7"/>
          </w:tcPr>
          <w:p>
            <w:r/>
            <w:r>
              <w:rPr>
                <w:b w:val="0"/>
                <w:sz w:val="22"/>
              </w:rPr>
              <w:t>8 h 00 – 16 h 00 — matin 8 h 00 – 12 h 00 (4 h), après-midi 13 h 00 – 16 h 00 (3 h)</w:t>
            </w:r>
          </w:p>
        </w:tc>
      </w:tr>
      <w:tr>
        <w:trPr>
          <w:cantSplit w:val="true"/>
        </w:trPr>
        <w:tc>
          <w:tcPr>
            <w:tcW w:type="dxa" w:w="2551"/>
          </w:tcPr>
          <w:p>
            <w:r/>
            <w:r>
              <w:rPr>
                <w:b w:val="0"/>
                <w:sz w:val="22"/>
              </w:rPr>
              <w:t>Pauses</w:t>
            </w:r>
          </w:p>
        </w:tc>
        <w:tc>
          <w:tcPr>
            <w:tcW w:type="dxa" w:w="7087"/>
          </w:tcPr>
          <w:p>
            <w:r/>
            <w:r>
              <w:rPr>
                <w:b w:val="0"/>
                <w:sz w:val="22"/>
              </w:rPr>
              <w:t>10 h 00 – 10 h 15 et 15 h 00 – 15 h 15 ; déjeuner 12 h 00 – 13 h 00 (non comptée dans la durée de formation)</w:t>
            </w:r>
          </w:p>
        </w:tc>
      </w:tr>
      <w:tr>
        <w:trPr>
          <w:cantSplit w:val="true"/>
        </w:trPr>
        <w:tc>
          <w:tcPr>
            <w:tcW w:type="dxa" w:w="2551"/>
            <w:shd w:val="clear" w:color="auto" w:fill="E8EEF7"/>
          </w:tcPr>
          <w:p>
            <w:r/>
            <w:r>
              <w:rPr>
                <w:b w:val="0"/>
                <w:sz w:val="22"/>
              </w:rPr>
              <w:t>Lieu</w:t>
            </w:r>
          </w:p>
        </w:tc>
        <w:tc>
          <w:tcPr>
            <w:tcW w:type="dxa" w:w="7087"/>
            <w:shd w:val="clear" w:color="auto" w:fill="E8EEF7"/>
          </w:tcPr>
          <w:p>
            <w:r/>
            <w:r>
              <w:rPr>
                <w:b w:val="0"/>
                <w:sz w:val="22"/>
              </w:rPr>
              <w:t>Secrétariat Center — 7 rue Henri Cornu — 97490 Saint-Denis</w:t>
            </w:r>
          </w:p>
        </w:tc>
      </w:tr>
      <w:tr>
        <w:trPr>
          <w:cantSplit w:val="true"/>
        </w:trPr>
        <w:tc>
          <w:tcPr>
            <w:tcW w:type="dxa" w:w="2551"/>
          </w:tcPr>
          <w:p>
            <w:r/>
            <w:r>
              <w:rPr>
                <w:b w:val="0"/>
                <w:sz w:val="22"/>
              </w:rPr>
              <w:t>Accessibilité</w:t>
            </w:r>
          </w:p>
        </w:tc>
        <w:tc>
          <w:tcPr>
            <w:tcW w:type="dxa" w:w="7087"/>
          </w:tcPr>
          <w:p>
            <w:r/>
            <w:r>
              <w:rPr>
                <w:b/>
                <w:i/>
                <w:color w:val="8A6D1F"/>
                <w:sz w:val="22"/>
              </w:rPr>
              <w:t>[À VÉRIFIER : accès PMR, toilettes adaptées et salle de pause du Secrétariat Center]</w:t>
            </w:r>
          </w:p>
        </w:tc>
      </w:tr>
      <w:tr>
        <w:trPr>
          <w:cantSplit w:val="true"/>
        </w:trPr>
        <w:tc>
          <w:tcPr>
            <w:tcW w:type="dxa" w:w="2551"/>
            <w:shd w:val="clear" w:color="auto" w:fill="E8EEF7"/>
          </w:tcPr>
          <w:p>
            <w:r/>
            <w:r>
              <w:rPr>
                <w:b w:val="0"/>
                <w:sz w:val="22"/>
              </w:rPr>
              <w:t>Effectif</w:t>
            </w:r>
          </w:p>
        </w:tc>
        <w:tc>
          <w:tcPr>
            <w:tcW w:type="dxa" w:w="7087"/>
            <w:shd w:val="clear" w:color="auto" w:fill="E8EEF7"/>
          </w:tcPr>
          <w:p>
            <w:r/>
            <w:r>
              <w:rPr>
                <w:b/>
                <w:i/>
                <w:color w:val="8A6D1F"/>
                <w:sz w:val="22"/>
              </w:rPr>
              <w:t>[À COMPLÉTER : minimum et maximum, par exemple 8 à 12 stagiaires]</w:t>
            </w:r>
          </w:p>
        </w:tc>
      </w:tr>
      <w:tr>
        <w:trPr>
          <w:cantSplit w:val="true"/>
        </w:trPr>
        <w:tc>
          <w:tcPr>
            <w:tcW w:type="dxa" w:w="2551"/>
          </w:tcPr>
          <w:p>
            <w:r/>
            <w:r>
              <w:rPr>
                <w:b w:val="0"/>
                <w:sz w:val="22"/>
              </w:rPr>
              <w:t>Modalité</w:t>
            </w:r>
          </w:p>
        </w:tc>
        <w:tc>
          <w:tcPr>
            <w:tcW w:type="dxa" w:w="7087"/>
          </w:tcPr>
          <w:p>
            <w:r/>
            <w:r>
              <w:rPr>
                <w:b w:val="0"/>
                <w:sz w:val="22"/>
              </w:rPr>
              <w:t>Présentiel</w:t>
            </w:r>
          </w:p>
        </w:tc>
      </w:tr>
    </w:tbl>
    <w:p/>
    <w:p>
      <w:pPr>
        <w:pStyle w:val="Heading1"/>
      </w:pPr>
      <w:r>
        <w:t>5. Contenu</w:t>
      </w:r>
    </w:p>
    <w:tbl>
      <w:tblPr>
        <w:tblStyle w:val="TableGrid"/>
        <w:tblW w:type="auto" w:w="0"/>
        <w:jc w:val="center"/>
        <w:tblLayout w:type="fixed"/>
        <w:tblLook w:firstColumn="1" w:firstRow="1" w:lastColumn="0" w:lastRow="0" w:noHBand="0" w:noVBand="1" w:val="04A0"/>
      </w:tblPr>
      <w:tblGrid>
        <w:gridCol w:w="1020"/>
        <w:gridCol w:w="5216"/>
        <w:gridCol w:w="2154"/>
        <w:gridCol w:w="1247"/>
      </w:tblGrid>
      <w:tr>
        <w:trPr>
          <w:tblHeader w:val="true"/>
        </w:trPr>
        <w:tc>
          <w:tcPr>
            <w:tcW w:type="dxa" w:w="1020"/>
            <w:shd w:val="clear" w:color="auto" w:fill="1B3A6B"/>
          </w:tcPr>
          <w:p>
            <w:r/>
            <w:r>
              <w:rPr>
                <w:b/>
                <w:color w:val="FFFFFF"/>
                <w:sz w:val="22"/>
              </w:rPr>
              <w:t>Code</w:t>
            </w:r>
          </w:p>
        </w:tc>
        <w:tc>
          <w:tcPr>
            <w:tcW w:type="dxa" w:w="5216"/>
            <w:shd w:val="clear" w:color="auto" w:fill="1B3A6B"/>
          </w:tcPr>
          <w:p>
            <w:r/>
            <w:r>
              <w:rPr>
                <w:b/>
                <w:color w:val="FFFFFF"/>
                <w:sz w:val="22"/>
              </w:rPr>
              <w:t>Module</w:t>
            </w:r>
          </w:p>
        </w:tc>
        <w:tc>
          <w:tcPr>
            <w:tcW w:type="dxa" w:w="2154"/>
            <w:shd w:val="clear" w:color="auto" w:fill="1B3A6B"/>
          </w:tcPr>
          <w:p>
            <w:r/>
            <w:r>
              <w:rPr>
                <w:b/>
                <w:color w:val="FFFFFF"/>
                <w:sz w:val="22"/>
              </w:rPr>
              <w:t>Rattachement</w:t>
            </w:r>
          </w:p>
        </w:tc>
        <w:tc>
          <w:tcPr>
            <w:tcW w:type="dxa" w:w="1247"/>
            <w:shd w:val="clear" w:color="auto" w:fill="1B3A6B"/>
          </w:tcPr>
          <w:p>
            <w:r/>
            <w:r>
              <w:rPr>
                <w:b/>
                <w:color w:val="FFFFFF"/>
                <w:sz w:val="22"/>
              </w:rPr>
              <w:t>Heures</w:t>
            </w:r>
          </w:p>
        </w:tc>
      </w:tr>
      <w:tr>
        <w:trPr>
          <w:cantSplit w:val="true"/>
        </w:trPr>
        <w:tc>
          <w:tcPr>
            <w:tcW w:type="dxa" w:w="1020"/>
          </w:tcPr>
          <w:p>
            <w:r/>
            <w:r>
              <w:rPr>
                <w:b w:val="0"/>
                <w:sz w:val="22"/>
              </w:rPr>
              <w:t>M0</w:t>
            </w:r>
          </w:p>
        </w:tc>
        <w:tc>
          <w:tcPr>
            <w:tcW w:type="dxa" w:w="5216"/>
          </w:tcPr>
          <w:p>
            <w:r/>
            <w:r>
              <w:rPr>
                <w:b w:val="0"/>
                <w:sz w:val="22"/>
              </w:rPr>
              <w:t>Accueil, intégration et positionnement</w:t>
            </w:r>
          </w:p>
        </w:tc>
        <w:tc>
          <w:tcPr>
            <w:tcW w:type="dxa" w:w="2154"/>
          </w:tcPr>
          <w:p>
            <w:r/>
            <w:r>
              <w:rPr>
                <w:b w:val="0"/>
                <w:sz w:val="22"/>
              </w:rPr>
              <w:t>Transversal</w:t>
            </w:r>
          </w:p>
        </w:tc>
        <w:tc>
          <w:tcPr>
            <w:tcW w:type="dxa" w:w="1247"/>
          </w:tcPr>
          <w:p>
            <w:r/>
            <w:r>
              <w:rPr>
                <w:b w:val="0"/>
                <w:sz w:val="22"/>
              </w:rPr>
              <w:t>14</w:t>
            </w:r>
          </w:p>
        </w:tc>
      </w:tr>
      <w:tr>
        <w:trPr>
          <w:cantSplit w:val="true"/>
        </w:trPr>
        <w:tc>
          <w:tcPr>
            <w:tcW w:type="dxa" w:w="1020"/>
            <w:shd w:val="clear" w:color="auto" w:fill="E8EEF7"/>
          </w:tcPr>
          <w:p>
            <w:r/>
            <w:r>
              <w:rPr>
                <w:b w:val="0"/>
                <w:sz w:val="22"/>
              </w:rPr>
              <w:t>T2</w:t>
            </w:r>
          </w:p>
        </w:tc>
        <w:tc>
          <w:tcPr>
            <w:tcW w:type="dxa" w:w="5216"/>
            <w:shd w:val="clear" w:color="auto" w:fill="E8EEF7"/>
          </w:tcPr>
          <w:p>
            <w:r/>
            <w:r>
              <w:rPr>
                <w:b w:val="0"/>
                <w:sz w:val="22"/>
              </w:rPr>
              <w:t>Outils bureautiques et tableur</w:t>
            </w:r>
          </w:p>
        </w:tc>
        <w:tc>
          <w:tcPr>
            <w:tcW w:type="dxa" w:w="2154"/>
            <w:shd w:val="clear" w:color="auto" w:fill="E8EEF7"/>
          </w:tcPr>
          <w:p>
            <w:r/>
            <w:r>
              <w:rPr>
                <w:b w:val="0"/>
                <w:sz w:val="22"/>
              </w:rPr>
              <w:t>Transversal — Savoir-faire REAC</w:t>
            </w:r>
          </w:p>
        </w:tc>
        <w:tc>
          <w:tcPr>
            <w:tcW w:type="dxa" w:w="1247"/>
            <w:shd w:val="clear" w:color="auto" w:fill="E8EEF7"/>
          </w:tcPr>
          <w:p>
            <w:r/>
            <w:r>
              <w:rPr>
                <w:b w:val="0"/>
                <w:sz w:val="22"/>
              </w:rPr>
              <w:t>21</w:t>
            </w:r>
          </w:p>
        </w:tc>
      </w:tr>
      <w:tr>
        <w:trPr>
          <w:cantSplit w:val="true"/>
        </w:trPr>
        <w:tc>
          <w:tcPr>
            <w:tcW w:type="dxa" w:w="1020"/>
          </w:tcPr>
          <w:p>
            <w:r/>
            <w:r>
              <w:rPr>
                <w:b w:val="0"/>
                <w:sz w:val="22"/>
              </w:rPr>
              <w:t>M1.1</w:t>
            </w:r>
          </w:p>
        </w:tc>
        <w:tc>
          <w:tcPr>
            <w:tcW w:type="dxa" w:w="5216"/>
          </w:tcPr>
          <w:p>
            <w:r/>
            <w:r>
              <w:rPr>
                <w:b w:val="0"/>
                <w:sz w:val="22"/>
              </w:rPr>
              <w:t>Animer l'équipe de son périmètre</w:t>
            </w:r>
          </w:p>
        </w:tc>
        <w:tc>
          <w:tcPr>
            <w:tcW w:type="dxa" w:w="2154"/>
          </w:tcPr>
          <w:p>
            <w:r/>
            <w:r>
              <w:rPr>
                <w:b w:val="0"/>
                <w:sz w:val="22"/>
              </w:rPr>
              <w:t>CCP1 — CP1</w:t>
            </w:r>
          </w:p>
        </w:tc>
        <w:tc>
          <w:tcPr>
            <w:tcW w:type="dxa" w:w="1247"/>
          </w:tcPr>
          <w:p>
            <w:r/>
            <w:r>
              <w:rPr>
                <w:b w:val="0"/>
                <w:sz w:val="22"/>
              </w:rPr>
              <w:t>35</w:t>
            </w:r>
          </w:p>
        </w:tc>
      </w:tr>
      <w:tr>
        <w:trPr>
          <w:cantSplit w:val="true"/>
        </w:trPr>
        <w:tc>
          <w:tcPr>
            <w:tcW w:type="dxa" w:w="1020"/>
            <w:shd w:val="clear" w:color="auto" w:fill="E8EEF7"/>
          </w:tcPr>
          <w:p>
            <w:r/>
            <w:r>
              <w:rPr>
                <w:b w:val="0"/>
                <w:sz w:val="22"/>
              </w:rPr>
              <w:t>M1.2</w:t>
            </w:r>
          </w:p>
        </w:tc>
        <w:tc>
          <w:tcPr>
            <w:tcW w:type="dxa" w:w="5216"/>
            <w:shd w:val="clear" w:color="auto" w:fill="E8EEF7"/>
          </w:tcPr>
          <w:p>
            <w:r/>
            <w:r>
              <w:rPr>
                <w:b w:val="0"/>
                <w:sz w:val="22"/>
              </w:rPr>
              <w:t>Planifier et coordonner l'activité de l'équipe</w:t>
            </w:r>
          </w:p>
        </w:tc>
        <w:tc>
          <w:tcPr>
            <w:tcW w:type="dxa" w:w="2154"/>
            <w:shd w:val="clear" w:color="auto" w:fill="E8EEF7"/>
          </w:tcPr>
          <w:p>
            <w:r/>
            <w:r>
              <w:rPr>
                <w:b w:val="0"/>
                <w:sz w:val="22"/>
              </w:rPr>
              <w:t>CCP1 — CP2</w:t>
            </w:r>
          </w:p>
        </w:tc>
        <w:tc>
          <w:tcPr>
            <w:tcW w:type="dxa" w:w="1247"/>
            <w:shd w:val="clear" w:color="auto" w:fill="E8EEF7"/>
          </w:tcPr>
          <w:p>
            <w:r/>
            <w:r>
              <w:rPr>
                <w:b w:val="0"/>
                <w:sz w:val="22"/>
              </w:rPr>
              <w:t>35</w:t>
            </w:r>
          </w:p>
        </w:tc>
      </w:tr>
      <w:tr>
        <w:trPr>
          <w:cantSplit w:val="true"/>
        </w:trPr>
        <w:tc>
          <w:tcPr>
            <w:tcW w:type="dxa" w:w="1020"/>
          </w:tcPr>
          <w:p>
            <w:r/>
            <w:r>
              <w:rPr>
                <w:b w:val="0"/>
                <w:sz w:val="22"/>
              </w:rPr>
              <w:t>M1.3</w:t>
            </w:r>
          </w:p>
        </w:tc>
        <w:tc>
          <w:tcPr>
            <w:tcW w:type="dxa" w:w="5216"/>
          </w:tcPr>
          <w:p>
            <w:r/>
            <w:r>
              <w:rPr>
                <w:b w:val="0"/>
                <w:sz w:val="22"/>
              </w:rPr>
              <w:t>Accompagner la performance individuelle des collaborateurs</w:t>
            </w:r>
          </w:p>
        </w:tc>
        <w:tc>
          <w:tcPr>
            <w:tcW w:type="dxa" w:w="2154"/>
          </w:tcPr>
          <w:p>
            <w:r/>
            <w:r>
              <w:rPr>
                <w:b w:val="0"/>
                <w:sz w:val="22"/>
              </w:rPr>
              <w:t>CCP1 — CP3</w:t>
            </w:r>
          </w:p>
        </w:tc>
        <w:tc>
          <w:tcPr>
            <w:tcW w:type="dxa" w:w="1247"/>
          </w:tcPr>
          <w:p>
            <w:r/>
            <w:r>
              <w:rPr>
                <w:b w:val="0"/>
                <w:sz w:val="22"/>
              </w:rPr>
              <w:t>35</w:t>
            </w:r>
          </w:p>
        </w:tc>
      </w:tr>
      <w:tr>
        <w:trPr>
          <w:cantSplit w:val="true"/>
        </w:trPr>
        <w:tc>
          <w:tcPr>
            <w:tcW w:type="dxa" w:w="1020"/>
            <w:shd w:val="clear" w:color="auto" w:fill="E8EEF7"/>
          </w:tcPr>
          <w:p>
            <w:r/>
            <w:r>
              <w:rPr>
                <w:b w:val="0"/>
                <w:sz w:val="22"/>
              </w:rPr>
              <w:t>M1.4</w:t>
            </w:r>
          </w:p>
        </w:tc>
        <w:tc>
          <w:tcPr>
            <w:tcW w:type="dxa" w:w="5216"/>
            <w:shd w:val="clear" w:color="auto" w:fill="E8EEF7"/>
          </w:tcPr>
          <w:p>
            <w:r/>
            <w:r>
              <w:rPr>
                <w:b w:val="0"/>
                <w:sz w:val="22"/>
              </w:rPr>
              <w:t>Contribuer au recrutement et à l'intégration</w:t>
            </w:r>
          </w:p>
        </w:tc>
        <w:tc>
          <w:tcPr>
            <w:tcW w:type="dxa" w:w="2154"/>
            <w:shd w:val="clear" w:color="auto" w:fill="E8EEF7"/>
          </w:tcPr>
          <w:p>
            <w:r/>
            <w:r>
              <w:rPr>
                <w:b w:val="0"/>
                <w:sz w:val="22"/>
              </w:rPr>
              <w:t>CCP1 — CP4</w:t>
            </w:r>
          </w:p>
        </w:tc>
        <w:tc>
          <w:tcPr>
            <w:tcW w:type="dxa" w:w="1247"/>
            <w:shd w:val="clear" w:color="auto" w:fill="E8EEF7"/>
          </w:tcPr>
          <w:p>
            <w:r/>
            <w:r>
              <w:rPr>
                <w:b w:val="0"/>
                <w:sz w:val="22"/>
              </w:rPr>
              <w:t>35</w:t>
            </w:r>
          </w:p>
        </w:tc>
      </w:tr>
      <w:tr>
        <w:trPr>
          <w:cantSplit w:val="true"/>
        </w:trPr>
        <w:tc>
          <w:tcPr>
            <w:tcW w:type="dxa" w:w="1020"/>
          </w:tcPr>
          <w:p>
            <w:r/>
            <w:r>
              <w:rPr>
                <w:b w:val="0"/>
                <w:sz w:val="22"/>
              </w:rPr>
              <w:t>T4</w:t>
            </w:r>
          </w:p>
        </w:tc>
        <w:tc>
          <w:tcPr>
            <w:tcW w:type="dxa" w:w="5216"/>
          </w:tcPr>
          <w:p>
            <w:r/>
            <w:r>
              <w:rPr>
                <w:b w:val="0"/>
                <w:sz w:val="22"/>
              </w:rPr>
              <w:t>Préparer la période en entreprise</w:t>
            </w:r>
          </w:p>
        </w:tc>
        <w:tc>
          <w:tcPr>
            <w:tcW w:type="dxa" w:w="2154"/>
          </w:tcPr>
          <w:p>
            <w:r/>
            <w:r>
              <w:rPr>
                <w:b w:val="0"/>
                <w:sz w:val="22"/>
              </w:rPr>
              <w:t>Transversal</w:t>
            </w:r>
          </w:p>
        </w:tc>
        <w:tc>
          <w:tcPr>
            <w:tcW w:type="dxa" w:w="1247"/>
          </w:tcPr>
          <w:p>
            <w:r/>
            <w:r>
              <w:rPr>
                <w:b w:val="0"/>
                <w:sz w:val="22"/>
              </w:rPr>
              <w:t>14</w:t>
            </w:r>
          </w:p>
        </w:tc>
      </w:tr>
      <w:tr>
        <w:trPr>
          <w:cantSplit w:val="true"/>
        </w:trPr>
        <w:tc>
          <w:tcPr>
            <w:tcW w:type="dxa" w:w="1020"/>
            <w:shd w:val="clear" w:color="auto" w:fill="E8EEF7"/>
          </w:tcPr>
          <w:p>
            <w:r/>
            <w:r>
              <w:rPr>
                <w:b w:val="0"/>
                <w:sz w:val="22"/>
              </w:rPr>
              <w:t>M2.1</w:t>
            </w:r>
          </w:p>
        </w:tc>
        <w:tc>
          <w:tcPr>
            <w:tcW w:type="dxa" w:w="5216"/>
            <w:shd w:val="clear" w:color="auto" w:fill="E8EEF7"/>
          </w:tcPr>
          <w:p>
            <w:r/>
            <w:r>
              <w:rPr>
                <w:b w:val="0"/>
                <w:sz w:val="22"/>
              </w:rPr>
              <w:t>Gérer l'approvisionnement de son périmètre</w:t>
            </w:r>
          </w:p>
        </w:tc>
        <w:tc>
          <w:tcPr>
            <w:tcW w:type="dxa" w:w="2154"/>
            <w:shd w:val="clear" w:color="auto" w:fill="E8EEF7"/>
          </w:tcPr>
          <w:p>
            <w:r/>
            <w:r>
              <w:rPr>
                <w:b w:val="0"/>
                <w:sz w:val="22"/>
              </w:rPr>
              <w:t>CCP2 — CP5</w:t>
            </w:r>
          </w:p>
        </w:tc>
        <w:tc>
          <w:tcPr>
            <w:tcW w:type="dxa" w:w="1247"/>
            <w:shd w:val="clear" w:color="auto" w:fill="E8EEF7"/>
          </w:tcPr>
          <w:p>
            <w:r/>
            <w:r>
              <w:rPr>
                <w:b w:val="0"/>
                <w:sz w:val="22"/>
              </w:rPr>
              <w:t>49</w:t>
            </w:r>
          </w:p>
        </w:tc>
      </w:tr>
      <w:tr>
        <w:trPr>
          <w:cantSplit w:val="true"/>
        </w:trPr>
        <w:tc>
          <w:tcPr>
            <w:tcW w:type="dxa" w:w="1020"/>
          </w:tcPr>
          <w:p>
            <w:r/>
            <w:r>
              <w:rPr>
                <w:b w:val="0"/>
                <w:sz w:val="22"/>
              </w:rPr>
              <w:t>M2.2</w:t>
            </w:r>
          </w:p>
        </w:tc>
        <w:tc>
          <w:tcPr>
            <w:tcW w:type="dxa" w:w="5216"/>
          </w:tcPr>
          <w:p>
            <w:r/>
            <w:r>
              <w:rPr>
                <w:b w:val="0"/>
                <w:sz w:val="22"/>
              </w:rPr>
              <w:t>Organiser et mettre en œuvre le merchandising</w:t>
            </w:r>
          </w:p>
        </w:tc>
        <w:tc>
          <w:tcPr>
            <w:tcW w:type="dxa" w:w="2154"/>
          </w:tcPr>
          <w:p>
            <w:r/>
            <w:r>
              <w:rPr>
                <w:b w:val="0"/>
                <w:sz w:val="22"/>
              </w:rPr>
              <w:t>CCP2 — CP6</w:t>
            </w:r>
          </w:p>
        </w:tc>
        <w:tc>
          <w:tcPr>
            <w:tcW w:type="dxa" w:w="1247"/>
          </w:tcPr>
          <w:p>
            <w:r/>
            <w:r>
              <w:rPr>
                <w:b w:val="0"/>
                <w:sz w:val="22"/>
              </w:rPr>
              <w:t>56</w:t>
            </w:r>
          </w:p>
        </w:tc>
      </w:tr>
      <w:tr>
        <w:trPr>
          <w:cantSplit w:val="true"/>
        </w:trPr>
        <w:tc>
          <w:tcPr>
            <w:tcW w:type="dxa" w:w="1020"/>
            <w:shd w:val="clear" w:color="auto" w:fill="E8EEF7"/>
          </w:tcPr>
          <w:p>
            <w:r/>
            <w:r>
              <w:rPr>
                <w:b w:val="0"/>
                <w:sz w:val="22"/>
              </w:rPr>
              <w:t>M2.3</w:t>
            </w:r>
          </w:p>
        </w:tc>
        <w:tc>
          <w:tcPr>
            <w:tcW w:type="dxa" w:w="5216"/>
            <w:shd w:val="clear" w:color="auto" w:fill="E8EEF7"/>
          </w:tcPr>
          <w:p>
            <w:r/>
            <w:r>
              <w:rPr>
                <w:b w:val="0"/>
                <w:sz w:val="22"/>
              </w:rPr>
              <w:t>Participer à l'amélioration de l'expérience client</w:t>
            </w:r>
          </w:p>
        </w:tc>
        <w:tc>
          <w:tcPr>
            <w:tcW w:type="dxa" w:w="2154"/>
            <w:shd w:val="clear" w:color="auto" w:fill="E8EEF7"/>
          </w:tcPr>
          <w:p>
            <w:r/>
            <w:r>
              <w:rPr>
                <w:b w:val="0"/>
                <w:sz w:val="22"/>
              </w:rPr>
              <w:t>CCP2 — CP7</w:t>
            </w:r>
          </w:p>
        </w:tc>
        <w:tc>
          <w:tcPr>
            <w:tcW w:type="dxa" w:w="1247"/>
            <w:shd w:val="clear" w:color="auto" w:fill="E8EEF7"/>
          </w:tcPr>
          <w:p>
            <w:r/>
            <w:r>
              <w:rPr>
                <w:b w:val="0"/>
                <w:sz w:val="22"/>
              </w:rPr>
              <w:t>49</w:t>
            </w:r>
          </w:p>
        </w:tc>
      </w:tr>
      <w:tr>
        <w:trPr>
          <w:cantSplit w:val="true"/>
        </w:trPr>
        <w:tc>
          <w:tcPr>
            <w:tcW w:type="dxa" w:w="1020"/>
          </w:tcPr>
          <w:p>
            <w:r/>
            <w:r>
              <w:rPr>
                <w:b w:val="0"/>
                <w:sz w:val="22"/>
              </w:rPr>
              <w:t>T6</w:t>
            </w:r>
          </w:p>
        </w:tc>
        <w:tc>
          <w:tcPr>
            <w:tcW w:type="dxa" w:w="5216"/>
          </w:tcPr>
          <w:p>
            <w:r/>
            <w:r>
              <w:rPr>
                <w:b w:val="0"/>
                <w:sz w:val="22"/>
              </w:rPr>
              <w:t>Bilan individuel de mi-parcours</w:t>
            </w:r>
          </w:p>
        </w:tc>
        <w:tc>
          <w:tcPr>
            <w:tcW w:type="dxa" w:w="2154"/>
          </w:tcPr>
          <w:p>
            <w:r/>
            <w:r>
              <w:rPr>
                <w:b w:val="0"/>
                <w:sz w:val="22"/>
              </w:rPr>
              <w:t>Transversal</w:t>
            </w:r>
          </w:p>
        </w:tc>
        <w:tc>
          <w:tcPr>
            <w:tcW w:type="dxa" w:w="1247"/>
          </w:tcPr>
          <w:p>
            <w:r/>
            <w:r>
              <w:rPr>
                <w:b w:val="0"/>
                <w:sz w:val="22"/>
              </w:rPr>
              <w:t>7</w:t>
            </w:r>
          </w:p>
        </w:tc>
      </w:tr>
      <w:tr>
        <w:trPr>
          <w:cantSplit w:val="true"/>
        </w:trPr>
        <w:tc>
          <w:tcPr>
            <w:tcW w:type="dxa" w:w="1020"/>
            <w:shd w:val="clear" w:color="auto" w:fill="E8EEF7"/>
          </w:tcPr>
          <w:p>
            <w:r/>
            <w:r>
              <w:rPr>
                <w:b w:val="0"/>
                <w:sz w:val="22"/>
              </w:rPr>
              <w:t>T1</w:t>
            </w:r>
          </w:p>
        </w:tc>
        <w:tc>
          <w:tcPr>
            <w:tcW w:type="dxa" w:w="5216"/>
            <w:shd w:val="clear" w:color="auto" w:fill="E8EEF7"/>
          </w:tcPr>
          <w:p>
            <w:r/>
            <w:r>
              <w:rPr>
                <w:b w:val="0"/>
                <w:sz w:val="22"/>
              </w:rPr>
              <w:t>IA appliquée au management et au commerce</w:t>
            </w:r>
          </w:p>
        </w:tc>
        <w:tc>
          <w:tcPr>
            <w:tcW w:type="dxa" w:w="2154"/>
            <w:shd w:val="clear" w:color="auto" w:fill="E8EEF7"/>
          </w:tcPr>
          <w:p>
            <w:r/>
            <w:r>
              <w:rPr>
                <w:b w:val="0"/>
                <w:sz w:val="22"/>
              </w:rPr>
              <w:t>Transversal — Savoir-faire REAC</w:t>
            </w:r>
          </w:p>
        </w:tc>
        <w:tc>
          <w:tcPr>
            <w:tcW w:type="dxa" w:w="1247"/>
            <w:shd w:val="clear" w:color="auto" w:fill="E8EEF7"/>
          </w:tcPr>
          <w:p>
            <w:r/>
            <w:r>
              <w:rPr>
                <w:b w:val="0"/>
                <w:sz w:val="22"/>
              </w:rPr>
              <w:t>42</w:t>
            </w:r>
          </w:p>
        </w:tc>
      </w:tr>
      <w:tr>
        <w:trPr>
          <w:cantSplit w:val="true"/>
        </w:trPr>
        <w:tc>
          <w:tcPr>
            <w:tcW w:type="dxa" w:w="1020"/>
          </w:tcPr>
          <w:p>
            <w:r/>
            <w:r>
              <w:rPr>
                <w:b w:val="0"/>
                <w:sz w:val="22"/>
              </w:rPr>
              <w:t>M3.1</w:t>
            </w:r>
          </w:p>
        </w:tc>
        <w:tc>
          <w:tcPr>
            <w:tcW w:type="dxa" w:w="5216"/>
          </w:tcPr>
          <w:p>
            <w:r/>
            <w:r>
              <w:rPr>
                <w:b w:val="0"/>
                <w:sz w:val="22"/>
              </w:rPr>
              <w:t>Analyser la performance commerciale de son périmètre</w:t>
            </w:r>
          </w:p>
        </w:tc>
        <w:tc>
          <w:tcPr>
            <w:tcW w:type="dxa" w:w="2154"/>
          </w:tcPr>
          <w:p>
            <w:r/>
            <w:r>
              <w:rPr>
                <w:b w:val="0"/>
                <w:sz w:val="22"/>
              </w:rPr>
              <w:t>CCP3 — CP8</w:t>
            </w:r>
          </w:p>
        </w:tc>
        <w:tc>
          <w:tcPr>
            <w:tcW w:type="dxa" w:w="1247"/>
          </w:tcPr>
          <w:p>
            <w:r/>
            <w:r>
              <w:rPr>
                <w:b w:val="0"/>
                <w:sz w:val="22"/>
              </w:rPr>
              <w:t>42</w:t>
            </w:r>
          </w:p>
        </w:tc>
      </w:tr>
      <w:tr>
        <w:trPr>
          <w:cantSplit w:val="true"/>
        </w:trPr>
        <w:tc>
          <w:tcPr>
            <w:tcW w:type="dxa" w:w="1020"/>
            <w:shd w:val="clear" w:color="auto" w:fill="E8EEF7"/>
          </w:tcPr>
          <w:p>
            <w:r/>
            <w:r>
              <w:rPr>
                <w:b w:val="0"/>
                <w:sz w:val="22"/>
              </w:rPr>
              <w:t>M3.2</w:t>
            </w:r>
          </w:p>
        </w:tc>
        <w:tc>
          <w:tcPr>
            <w:tcW w:type="dxa" w:w="5216"/>
            <w:shd w:val="clear" w:color="auto" w:fill="E8EEF7"/>
          </w:tcPr>
          <w:p>
            <w:r/>
            <w:r>
              <w:rPr>
                <w:b w:val="0"/>
                <w:sz w:val="22"/>
              </w:rPr>
              <w:t>Analyser la rentabilité de son périmètre</w:t>
            </w:r>
          </w:p>
        </w:tc>
        <w:tc>
          <w:tcPr>
            <w:tcW w:type="dxa" w:w="2154"/>
            <w:shd w:val="clear" w:color="auto" w:fill="E8EEF7"/>
          </w:tcPr>
          <w:p>
            <w:r/>
            <w:r>
              <w:rPr>
                <w:b w:val="0"/>
                <w:sz w:val="22"/>
              </w:rPr>
              <w:t>CCP3 — CP9</w:t>
            </w:r>
          </w:p>
        </w:tc>
        <w:tc>
          <w:tcPr>
            <w:tcW w:type="dxa" w:w="1247"/>
            <w:shd w:val="clear" w:color="auto" w:fill="E8EEF7"/>
          </w:tcPr>
          <w:p>
            <w:r/>
            <w:r>
              <w:rPr>
                <w:b w:val="0"/>
                <w:sz w:val="22"/>
              </w:rPr>
              <w:t>42</w:t>
            </w:r>
          </w:p>
        </w:tc>
      </w:tr>
      <w:tr>
        <w:trPr>
          <w:cantSplit w:val="true"/>
        </w:trPr>
        <w:tc>
          <w:tcPr>
            <w:tcW w:type="dxa" w:w="1020"/>
          </w:tcPr>
          <w:p>
            <w:r/>
            <w:r>
              <w:rPr>
                <w:b w:val="0"/>
                <w:sz w:val="22"/>
              </w:rPr>
              <w:t>M3.3</w:t>
            </w:r>
          </w:p>
        </w:tc>
        <w:tc>
          <w:tcPr>
            <w:tcW w:type="dxa" w:w="5216"/>
          </w:tcPr>
          <w:p>
            <w:r/>
            <w:r>
              <w:rPr>
                <w:b w:val="0"/>
                <w:sz w:val="22"/>
              </w:rPr>
              <w:t>Proposer des actions correctives et suivre le plan d'actions</w:t>
            </w:r>
          </w:p>
        </w:tc>
        <w:tc>
          <w:tcPr>
            <w:tcW w:type="dxa" w:w="2154"/>
          </w:tcPr>
          <w:p>
            <w:r/>
            <w:r>
              <w:rPr>
                <w:b w:val="0"/>
                <w:sz w:val="22"/>
              </w:rPr>
              <w:t>CCP3 — CP10</w:t>
            </w:r>
          </w:p>
        </w:tc>
        <w:tc>
          <w:tcPr>
            <w:tcW w:type="dxa" w:w="1247"/>
          </w:tcPr>
          <w:p>
            <w:r/>
            <w:r>
              <w:rPr>
                <w:b w:val="0"/>
                <w:sz w:val="22"/>
              </w:rPr>
              <w:t>42</w:t>
            </w:r>
          </w:p>
        </w:tc>
      </w:tr>
      <w:tr>
        <w:trPr>
          <w:cantSplit w:val="true"/>
        </w:trPr>
        <w:tc>
          <w:tcPr>
            <w:tcW w:type="dxa" w:w="1020"/>
            <w:shd w:val="clear" w:color="auto" w:fill="E8EEF7"/>
          </w:tcPr>
          <w:p>
            <w:r/>
            <w:r>
              <w:rPr>
                <w:b w:val="0"/>
                <w:sz w:val="22"/>
              </w:rPr>
              <w:t>T3</w:t>
            </w:r>
          </w:p>
        </w:tc>
        <w:tc>
          <w:tcPr>
            <w:tcW w:type="dxa" w:w="5216"/>
            <w:shd w:val="clear" w:color="auto" w:fill="E8EEF7"/>
          </w:tcPr>
          <w:p>
            <w:r/>
            <w:r>
              <w:rPr>
                <w:b w:val="0"/>
                <w:sz w:val="22"/>
              </w:rPr>
              <w:t>Productions d'examen et dossier professionnel</w:t>
            </w:r>
          </w:p>
        </w:tc>
        <w:tc>
          <w:tcPr>
            <w:tcW w:type="dxa" w:w="2154"/>
            <w:shd w:val="clear" w:color="auto" w:fill="E8EEF7"/>
          </w:tcPr>
          <w:p>
            <w:r/>
            <w:r>
              <w:rPr>
                <w:b w:val="0"/>
                <w:sz w:val="22"/>
              </w:rPr>
              <w:t>Transversal — Épreuves</w:t>
            </w:r>
          </w:p>
        </w:tc>
        <w:tc>
          <w:tcPr>
            <w:tcW w:type="dxa" w:w="1247"/>
            <w:shd w:val="clear" w:color="auto" w:fill="E8EEF7"/>
          </w:tcPr>
          <w:p>
            <w:r/>
            <w:r>
              <w:rPr>
                <w:b w:val="0"/>
                <w:sz w:val="22"/>
              </w:rPr>
              <w:t>21</w:t>
            </w:r>
          </w:p>
        </w:tc>
      </w:tr>
      <w:tr>
        <w:trPr>
          <w:cantSplit w:val="true"/>
        </w:trPr>
        <w:tc>
          <w:tcPr>
            <w:tcW w:type="dxa" w:w="1020"/>
          </w:tcPr>
          <w:p>
            <w:r/>
            <w:r>
              <w:rPr>
                <w:b w:val="0"/>
                <w:sz w:val="22"/>
              </w:rPr>
              <w:t>T5</w:t>
            </w:r>
          </w:p>
        </w:tc>
        <w:tc>
          <w:tcPr>
            <w:tcW w:type="dxa" w:w="5216"/>
          </w:tcPr>
          <w:p>
            <w:r/>
            <w:r>
              <w:rPr>
                <w:b w:val="0"/>
                <w:sz w:val="22"/>
              </w:rPr>
              <w:t>Entraînement aux épreuves du titre</w:t>
            </w:r>
          </w:p>
        </w:tc>
        <w:tc>
          <w:tcPr>
            <w:tcW w:type="dxa" w:w="2154"/>
          </w:tcPr>
          <w:p>
            <w:r/>
            <w:r>
              <w:rPr>
                <w:b w:val="0"/>
                <w:sz w:val="22"/>
              </w:rPr>
              <w:t>Transversal — Épreuves</w:t>
            </w:r>
          </w:p>
        </w:tc>
        <w:tc>
          <w:tcPr>
            <w:tcW w:type="dxa" w:w="1247"/>
          </w:tcPr>
          <w:p>
            <w:r/>
            <w:r>
              <w:rPr>
                <w:b w:val="0"/>
                <w:sz w:val="22"/>
              </w:rPr>
              <w:t>21</w:t>
            </w:r>
          </w:p>
        </w:tc>
      </w:tr>
      <w:tr>
        <w:trPr>
          <w:cantSplit w:val="true"/>
        </w:trPr>
        <w:tc>
          <w:tcPr>
            <w:tcW w:type="dxa" w:w="1020"/>
            <w:shd w:val="clear" w:color="auto" w:fill="E8EEF7"/>
          </w:tcPr>
          <w:p>
            <w:r/>
          </w:p>
        </w:tc>
        <w:tc>
          <w:tcPr>
            <w:tcW w:type="dxa" w:w="5216"/>
            <w:shd w:val="clear" w:color="auto" w:fill="E8EEF7"/>
          </w:tcPr>
          <w:p>
            <w:r/>
            <w:r>
              <w:rPr>
                <w:b/>
                <w:sz w:val="22"/>
              </w:rPr>
              <w:t>Total en centre</w:t>
            </w:r>
          </w:p>
        </w:tc>
        <w:tc>
          <w:tcPr>
            <w:tcW w:type="dxa" w:w="2154"/>
            <w:shd w:val="clear" w:color="auto" w:fill="E8EEF7"/>
          </w:tcPr>
          <w:p>
            <w:r/>
          </w:p>
        </w:tc>
        <w:tc>
          <w:tcPr>
            <w:tcW w:type="dxa" w:w="1247"/>
            <w:shd w:val="clear" w:color="auto" w:fill="E8EEF7"/>
          </w:tcPr>
          <w:p>
            <w:r/>
            <w:r>
              <w:rPr>
                <w:b/>
                <w:sz w:val="22"/>
              </w:rPr>
              <w:t>560</w:t>
            </w:r>
          </w:p>
        </w:tc>
      </w:tr>
      <w:tr>
        <w:trPr>
          <w:cantSplit w:val="true"/>
        </w:trPr>
        <w:tc>
          <w:tcPr>
            <w:tcW w:type="dxa" w:w="1020"/>
          </w:tcPr>
          <w:p>
            <w:r/>
            <w:r>
              <w:rPr>
                <w:b w:val="0"/>
                <w:sz w:val="22"/>
              </w:rPr>
              <w:t>PAE</w:t>
            </w:r>
          </w:p>
        </w:tc>
        <w:tc>
          <w:tcPr>
            <w:tcW w:type="dxa" w:w="5216"/>
          </w:tcPr>
          <w:p>
            <w:r/>
            <w:r>
              <w:rPr>
                <w:b w:val="0"/>
                <w:sz w:val="22"/>
              </w:rPr>
              <w:t>Période en entreprise</w:t>
            </w:r>
          </w:p>
        </w:tc>
        <w:tc>
          <w:tcPr>
            <w:tcW w:type="dxa" w:w="2154"/>
          </w:tcPr>
          <w:p>
            <w:r/>
            <w:r>
              <w:rPr>
                <w:b w:val="0"/>
                <w:sz w:val="22"/>
              </w:rPr>
              <w:t>Tous les blocs</w:t>
            </w:r>
          </w:p>
        </w:tc>
        <w:tc>
          <w:tcPr>
            <w:tcW w:type="dxa" w:w="1247"/>
          </w:tcPr>
          <w:p>
            <w:r/>
            <w:r>
              <w:rPr>
                <w:b w:val="0"/>
                <w:sz w:val="22"/>
              </w:rPr>
              <w:t>280</w:t>
            </w:r>
          </w:p>
        </w:tc>
      </w:tr>
    </w:tbl>
    <w:p/>
    <w:p>
      <w:pPr>
        <w:pStyle w:val="Heading1"/>
      </w:pPr>
      <w:r>
        <w:t>6. Méthodes et moyens pédagogiques</w:t>
      </w:r>
    </w:p>
    <w:p>
      <w:pPr>
        <w:pStyle w:val="ListBullet"/>
      </w:pPr>
      <w:r>
        <w:rPr>
          <w:b w:val="0"/>
        </w:rPr>
        <w:t>Pédagogie active : études de cas réunionnais, jeux de rôle, simulations, ateliers, travail en sous-groupes.</w:t>
      </w:r>
    </w:p>
    <w:p>
      <w:pPr>
        <w:pStyle w:val="ListBullet"/>
      </w:pPr>
      <w:r>
        <w:rPr>
          <w:b w:val="0"/>
        </w:rPr>
        <w:t>Alternance entre le centre et l'entreprise ; les productions d'examen sont construites à partir de la période en entreprise.</w:t>
      </w:r>
    </w:p>
    <w:p>
      <w:pPr>
        <w:pStyle w:val="ListBullet"/>
      </w:pPr>
      <w:r>
        <w:rPr>
          <w:b w:val="0"/>
        </w:rPr>
        <w:t>Supports projetés en gros caractères et contrastés, transmis en version numérique accessible.</w:t>
      </w:r>
    </w:p>
    <w:p>
      <w:pPr>
        <w:pStyle w:val="ListBullet"/>
      </w:pPr>
      <w:r>
        <w:rPr>
          <w:b w:val="0"/>
        </w:rPr>
        <w:t xml:space="preserve">Salle de formation équipée au Secrétariat Center </w:t>
      </w:r>
      <w:r>
        <w:rPr>
          <w:b/>
          <w:i/>
          <w:color w:val="8A6D1F"/>
        </w:rPr>
        <w:t>[À COMPLÉTER : vidéoprojecteur, connexion, postes ou ordinateurs portables]</w:t>
      </w:r>
      <w:r>
        <w:rPr>
          <w:b w:val="0"/>
        </w:rPr>
        <w:t>.</w:t>
      </w:r>
    </w:p>
    <w:p>
      <w:pPr>
        <w:pStyle w:val="ListBullet"/>
      </w:pPr>
      <w:r>
        <w:rPr>
          <w:b w:val="0"/>
        </w:rPr>
        <w:t>Formateurs : professionnels du management, du commerce et de la gestion (CV et justificatifs tenus à disposition).</w:t>
      </w:r>
    </w:p>
    <w:p>
      <w:pPr>
        <w:pStyle w:val="Heading1"/>
      </w:pPr>
      <w:r>
        <w:t>7. Évaluation et validation</w:t>
      </w:r>
    </w:p>
    <w:p>
      <w:pPr>
        <w:pStyle w:val="ListBullet"/>
      </w:pPr>
      <w:r>
        <w:rPr>
          <w:b w:val="0"/>
        </w:rPr>
        <w:t>Positionnement à l'entrée, évaluations en cours de formation (prises en compte par le jury selon le référentiel d'évaluation), épreuves blanches.</w:t>
      </w:r>
    </w:p>
    <w:p>
      <w:pPr>
        <w:pStyle w:val="ListBullet"/>
      </w:pPr>
      <w:r>
        <w:rPr>
          <w:b w:val="0"/>
        </w:rPr>
        <w:t>Session de validation : 7 h 55 par candidat : mise en situation professionnelle (étude de cas sur poste informatique) 4 h, entretien technique 1 h 30, questionnement à partir de productions 2 h 10, entretien final 15 min.</w:t>
      </w:r>
    </w:p>
    <w:p>
      <w:pPr>
        <w:pStyle w:val="ListBullet"/>
      </w:pPr>
      <w:r>
        <w:rPr>
          <w:b w:val="0"/>
        </w:rPr>
        <w:t>Le jury s'appuie aussi sur le dossier professionnel et sur l'entretien final.</w:t>
      </w:r>
    </w:p>
    <w:p>
      <w:pPr>
        <w:pStyle w:val="ListBullet"/>
      </w:pPr>
      <w:r>
        <w:rPr>
          <w:b w:val="0"/>
        </w:rPr>
        <w:t>Validation totale (titre) ou partielle (un ou plusieurs CCP, capitalisables).</w:t>
      </w:r>
    </w:p>
    <w:p>
      <w:pPr>
        <w:pStyle w:val="ListBullet"/>
      </w:pPr>
      <w:r>
        <w:rPr>
          <w:b w:val="0"/>
        </w:rPr>
        <w:t>Remise d'une attestation de fin de formation et d'un certificat de réalisation.</w:t>
      </w:r>
    </w:p>
    <w:p>
      <w:pPr>
        <w:pStyle w:val="Heading1"/>
      </w:pPr>
      <w:r>
        <w:t>8. Financements possibles</w:t>
      </w:r>
    </w:p>
    <w:p>
      <w:pPr>
        <w:pStyle w:val="ListBullet"/>
      </w:pPr>
      <w:r>
        <w:rPr>
          <w:b w:val="0"/>
        </w:rPr>
        <w:t>Compte personnel de formation (CPF)</w:t>
      </w:r>
    </w:p>
    <w:p>
      <w:pPr>
        <w:pStyle w:val="ListBullet"/>
      </w:pPr>
      <w:r>
        <w:rPr>
          <w:b w:val="0"/>
        </w:rPr>
        <w:t>France Travail : AIF, action de formation conventionnée, POEI ou POEC</w:t>
      </w:r>
    </w:p>
    <w:p>
      <w:pPr>
        <w:pStyle w:val="ListBullet"/>
      </w:pPr>
      <w:r>
        <w:rPr>
          <w:b w:val="0"/>
        </w:rPr>
        <w:t xml:space="preserve">Région Réunion : programme régional de formation </w:t>
      </w:r>
      <w:r>
        <w:rPr>
          <w:b/>
          <w:i/>
          <w:color w:val="8A6D1F"/>
        </w:rPr>
        <w:t>[À VÉRIFIER : dispositif ouvert]</w:t>
      </w:r>
    </w:p>
    <w:p>
      <w:pPr>
        <w:pStyle w:val="ListBullet"/>
      </w:pPr>
      <w:r>
        <w:rPr>
          <w:b w:val="0"/>
        </w:rPr>
        <w:t>OPCO de l'employeur : plan de développement des compétences, Pro-A, contrat de professionnalisation</w:t>
      </w:r>
    </w:p>
    <w:p>
      <w:pPr>
        <w:pStyle w:val="ListBullet"/>
      </w:pPr>
      <w:r>
        <w:rPr>
          <w:b w:val="0"/>
        </w:rPr>
        <w:t>Transitions Pro Réunion : projet de transition professionnelle</w:t>
      </w:r>
    </w:p>
    <w:p>
      <w:pPr>
        <w:pStyle w:val="ListBullet"/>
      </w:pPr>
      <w:r>
        <w:rPr>
          <w:b w:val="0"/>
        </w:rPr>
        <w:t>Agefiph : aides complémentaires</w:t>
      </w:r>
    </w:p>
    <w:p>
      <w:r>
        <w:rPr>
          <w:b w:val="0"/>
        </w:rPr>
        <w:t xml:space="preserve">Tarif : </w:t>
      </w:r>
      <w:r>
        <w:rPr>
          <w:b/>
          <w:i/>
          <w:color w:val="8A6D1F"/>
        </w:rPr>
        <w:t>[À COMPLÉTER : prix du parcours complet, prix par CCP, coût horaire]</w:t>
      </w:r>
      <w:r>
        <w:rPr>
          <w:b w:val="0"/>
        </w:rPr>
        <w:t xml:space="preserve">. TVA : </w:t>
      </w:r>
      <w:r>
        <w:rPr>
          <w:b/>
          <w:i/>
          <w:color w:val="8A6D1F"/>
        </w:rPr>
        <w:t>[À VÉRIFIER : exonération formation professionnelle]</w:t>
      </w:r>
      <w:r>
        <w:rPr>
          <w:b w:val="0"/>
        </w:rPr>
        <w:t>.</w:t>
      </w:r>
    </w:p>
    <w:p>
      <w:pPr>
        <w:pStyle w:val="Heading1"/>
      </w:pPr>
      <w:r>
        <w:t>9. Accessibilité et handicap</w:t>
      </w:r>
    </w:p>
    <w:p>
      <w:r>
        <w:rPr>
          <w:b w:val="0"/>
        </w:rPr>
        <w:t xml:space="preserve">Référent handicap : Aurélien LUMEKA, référent handicap certifié — </w:t>
      </w:r>
      <w:r>
        <w:rPr>
          <w:b/>
          <w:i/>
          <w:color w:val="8A6D1F"/>
        </w:rPr>
        <w:t>[À COMPLÉTER : téléphone]</w:t>
      </w:r>
      <w:r>
        <w:rPr>
          <w:b w:val="0"/>
        </w:rPr>
        <w:t>. Un entretien confidentiel est proposé avant l'entrée pour étudier les aménagements de parcours et d'examen, avec l'Agefiph, Cap emploi et la MDPH.</w:t>
      </w:r>
    </w:p>
    <w:p>
      <w:pPr>
        <w:pStyle w:val="Heading1"/>
      </w:pPr>
      <w:r>
        <w:t>10. Débouchés et résultats</w:t>
      </w:r>
    </w:p>
    <w:p>
      <w:r>
        <w:rPr>
          <w:b w:val="0"/>
        </w:rPr>
        <w:t>Emplois visés : Manager de rayon, chef de rayon, manager de surface de vente, manager d'univers commercial, responsable de boutique, de magasin ou de point de vente, gérant de magasin, responsable de succursale, responsable de département.</w:t>
      </w:r>
    </w:p>
    <w:p>
      <w:r>
        <w:rPr>
          <w:b w:val="0"/>
        </w:rPr>
        <w:t>Résultats nationaux : Insertion globale à 6 mois : 76 % (2024), 78 % (2023) ; dans le métier visé à 6 mois : 65 % (2024) — fiche RNCP41853. Tension nationale sur les postes de manager de proximité : 3,7 (REAC v09, début 2025).</w:t>
      </w:r>
    </w:p>
    <w:p>
      <w:r>
        <w:rPr>
          <w:b w:val="0"/>
        </w:rPr>
        <w:t>Résultats YEBA FORMATIONS (satisfaction, abandon, réussite, insertion à 6 mois) : publiés après la première session.</w:t>
      </w:r>
    </w:p>
    <w:p>
      <w:pPr>
        <w:pStyle w:val="Heading1"/>
      </w:pPr>
      <w:r>
        <w:t>11. Contact</w:t>
      </w:r>
    </w:p>
    <w:p>
      <w:r>
        <w:rPr>
          <w:b w:val="0"/>
        </w:rPr>
        <w:t xml:space="preserve">YEBA FORMATIONS — Aurélien LUMEKA — </w:t>
      </w:r>
      <w:r>
        <w:rPr>
          <w:b/>
          <w:i/>
          <w:color w:val="8A6D1F"/>
        </w:rPr>
        <w:t>[À COMPLÉTER : téléphone]</w:t>
      </w:r>
      <w:r>
        <w:rPr>
          <w:b w:val="0"/>
        </w:rPr>
        <w:t xml:space="preserve"> — </w:t>
      </w:r>
      <w:r>
        <w:rPr>
          <w:b/>
          <w:i/>
          <w:color w:val="8A6D1F"/>
        </w:rPr>
        <w:t>[À COMPLÉTER : e-mail de contact]</w:t>
      </w:r>
    </w:p>
    <w:p>
      <w:r>
        <w:rPr>
          <w:b w:val="0"/>
          <w:i/>
        </w:rPr>
        <w:t>Déclaration d'activité enregistrée sous le n° 04973676397 auprès du préfet de région de La Réunion. Cet enregistrement ne vaut pas agrément de l'État.</w:t>
      </w:r>
    </w:p>
    <w:tbl>
      <w:tblPr>
        <w:tblStyle w:val="TableGrid"/>
        <w:tblW w:type="auto" w:w="0"/>
        <w:tblLayout w:type="fixed"/>
        <w:tblLook w:firstColumn="1" w:firstRow="1" w:lastColumn="0" w:lastRow="0" w:noHBand="0" w:noVBand="1" w:val="04A0"/>
      </w:tblPr>
      <w:tblGrid>
        <w:gridCol w:w="9639"/>
      </w:tblGrid>
      <w:tr>
        <w:tc>
          <w:tcPr>
            <w:tcW w:type="dxa" w:w="9638"/>
            <w:shd w:val="clear" w:color="auto" w:fill="E8EEF7"/>
          </w:tcPr>
          <w:p>
            <w:r/>
            <w:r>
              <w:rPr>
                <w:b/>
                <w:color w:val="1B3A6B"/>
                <w:sz w:val="26"/>
              </w:rPr>
              <w:t>RGPD et IA Act — points de conformité de ce document</w:t>
            </w:r>
          </w:p>
          <w:p>
            <w:r>
              <w:rPr>
                <w:b w:val="0"/>
                <w:sz w:val="22"/>
              </w:rPr>
              <w:t>RGPD : les données collectées à l'inscription servent uniquement à la gestion de la formation et aux obligations envers les financeurs.</w:t>
            </w:r>
          </w:p>
          <w:p>
            <w:r>
              <w:rPr>
                <w:b w:val="0"/>
                <w:sz w:val="22"/>
              </w:rPr>
              <w:t>IA Act : aucune décision d'admission, d'orientation ou d'évaluation n'est prise par un système d'intelligence artificielle.</w:t>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B3A6B"/>
        <w:sz w:val="18"/>
      </w:rPr>
      <w:t xml:space="preserve">PRG-MEM   |   YEBA FORMATIONS — SIRET 814 622 262 00032 — Version 2026-10   |   Page </w:t>
    </w:r>
    <w:r>
      <w:rPr>
        <w:color w:val="1B3A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34228" cy="540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34228" cy="540000"/>
                  </a:xfrm>
                  <a:prstGeom prst="rect"/>
                </pic:spPr>
              </pic:pic>
            </a:graphicData>
          </a:graphic>
        </wp:inline>
      </w:drawing>
    </w:r>
    <w:r>
      <w:rPr>
        <w:b/>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A6D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de formation</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