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3805369" cy="32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1"/>
                    <a:stretch>
                      <a:fillRect/>
                    </a:stretch>
                  </pic:blipFill>
                  <pic:spPr>
                    <a:xfrm>
                      <a:off x="0" y="0"/>
                      <a:ext cx="3805369" cy="3240000"/>
                    </a:xfrm>
                    <a:prstGeom prst="rect"/>
                  </pic:spPr>
                </pic:pic>
              </a:graphicData>
            </a:graphic>
          </wp:inline>
        </w:drawing>
      </w:r>
    </w:p>
    <w:p>
      <w:pPr>
        <w:spacing w:before="480"/>
        <w:jc w:val="center"/>
      </w:pPr>
      <w:r>
        <w:rPr>
          <w:b/>
          <w:color w:val="1B3A6B"/>
          <w:sz w:val="52"/>
        </w:rPr>
        <w:t>Programme de formation</w:t>
      </w:r>
    </w:p>
    <w:p>
      <w:pPr>
        <w:jc w:val="center"/>
      </w:pPr>
      <w:r>
        <w:rPr>
          <w:b/>
          <w:color w:val="8A6D1F"/>
          <w:sz w:val="32"/>
        </w:rPr>
        <w:t>Titre professionnel Responsable de petite ou moyenne structure — RNCP38575</w:t>
      </w:r>
    </w:p>
    <w:p>
      <w:pPr>
        <w:pBdr>
          <w:bottom w:val="single" w:sz="18" w:space="1" w:color="C9A94D"/>
        </w:pBdr>
      </w:pPr>
    </w:p>
    <w:p>
      <w:pPr>
        <w:jc w:val="center"/>
      </w:pPr>
      <w:r>
        <w:rPr>
          <w:b w:val="0"/>
          <w:color w:val="1B3A6B"/>
          <w:sz w:val="24"/>
        </w:rPr>
        <w:t>Secrétariat Center — 7 rue Henri Cornu — 97490 Saint-Denis</w:t>
      </w:r>
    </w:p>
    <w:p>
      <w:pPr>
        <w:jc w:val="center"/>
      </w:pPr>
      <w:r>
        <w:rPr>
          <w:b w:val="0"/>
          <w:color w:val="1B3A6B"/>
          <w:sz w:val="24"/>
        </w:rPr>
        <w:t>SIRET 814 622 262 00032  •  NDA 04973676397  •  Qualiopi 25FOR02027.1</w:t>
      </w:r>
    </w:p>
    <w:p>
      <w:r>
        <w:br w:type="page"/>
      </w:r>
    </w:p>
    <w:p>
      <w:pPr>
        <w:pStyle w:val="Heading1"/>
      </w:pPr>
      <w:r>
        <w:t>1. Identification de la certification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B3A6B"/>
          </w:tcPr>
          <w:p>
            <w:r/>
            <w:r>
              <w:rPr>
                <w:b/>
                <w:color w:val="FFFFFF"/>
                <w:sz w:val="22"/>
              </w:rPr>
              <w:t>Rubrique</w:t>
            </w:r>
          </w:p>
        </w:tc>
        <w:tc>
          <w:tcPr>
            <w:tcW w:type="dxa" w:w="7087"/>
            <w:shd w:val="clear" w:color="auto" w:fill="1B3A6B"/>
          </w:tcPr>
          <w:p>
            <w:r/>
            <w:r>
              <w:rPr>
                <w:b/>
                <w:color w:val="FFFFFF"/>
                <w:sz w:val="22"/>
              </w:rPr>
              <w:t>Information</w:t>
            </w:r>
          </w:p>
        </w:tc>
      </w:tr>
      <w:tr>
        <w:trPr>
          <w:cantSplit w:val="true"/>
        </w:trPr>
        <w:tc>
          <w:tcPr>
            <w:tcW w:type="dxa" w:w="2551"/>
          </w:tcPr>
          <w:p>
            <w:r/>
            <w:r>
              <w:rPr>
                <w:b w:val="0"/>
                <w:sz w:val="22"/>
              </w:rPr>
              <w:t>Certification</w:t>
            </w:r>
          </w:p>
        </w:tc>
        <w:tc>
          <w:tcPr>
            <w:tcW w:type="dxa" w:w="7087"/>
          </w:tcPr>
          <w:p>
            <w:r/>
            <w:r>
              <w:rPr>
                <w:b w:val="0"/>
                <w:sz w:val="22"/>
              </w:rPr>
              <w:t>Titre professionnel Responsable de petite ou moyenne structure — RNCP38575</w:t>
            </w:r>
          </w:p>
        </w:tc>
      </w:tr>
      <w:tr>
        <w:trPr>
          <w:cantSplit w:val="true"/>
        </w:trPr>
        <w:tc>
          <w:tcPr>
            <w:tcW w:type="dxa" w:w="2551"/>
            <w:shd w:val="clear" w:color="auto" w:fill="E8EEF7"/>
          </w:tcPr>
          <w:p>
            <w:r/>
            <w:r>
              <w:rPr>
                <w:b w:val="0"/>
                <w:sz w:val="22"/>
              </w:rPr>
              <w:t>Certificateur</w:t>
            </w:r>
          </w:p>
        </w:tc>
        <w:tc>
          <w:tcPr>
            <w:tcW w:type="dxa" w:w="7087"/>
            <w:shd w:val="clear" w:color="auto" w:fill="E8EEF7"/>
          </w:tcPr>
          <w:p>
            <w:r/>
            <w:r>
              <w:rPr>
                <w:b w:val="0"/>
                <w:sz w:val="22"/>
              </w:rPr>
              <w:t>Ministère du Travail, du Plein Emploi et de l'Insertion</w:t>
            </w:r>
          </w:p>
        </w:tc>
      </w:tr>
      <w:tr>
        <w:trPr>
          <w:cantSplit w:val="true"/>
        </w:trPr>
        <w:tc>
          <w:tcPr>
            <w:tcW w:type="dxa" w:w="2551"/>
          </w:tcPr>
          <w:p>
            <w:r/>
            <w:r>
              <w:rPr>
                <w:b w:val="0"/>
                <w:sz w:val="22"/>
              </w:rPr>
              <w:t>Niveau</w:t>
            </w:r>
          </w:p>
        </w:tc>
        <w:tc>
          <w:tcPr>
            <w:tcW w:type="dxa" w:w="7087"/>
          </w:tcPr>
          <w:p>
            <w:r/>
            <w:r>
              <w:rPr>
                <w:b w:val="0"/>
                <w:sz w:val="22"/>
              </w:rPr>
              <w:t>Niveau 5 (cadre national des certifications 2019)</w:t>
            </w:r>
          </w:p>
        </w:tc>
      </w:tr>
      <w:tr>
        <w:trPr>
          <w:cantSplit w:val="true"/>
        </w:trPr>
        <w:tc>
          <w:tcPr>
            <w:tcW w:type="dxa" w:w="2551"/>
            <w:shd w:val="clear" w:color="auto" w:fill="E8EEF7"/>
          </w:tcPr>
          <w:p>
            <w:r/>
            <w:r>
              <w:rPr>
                <w:b w:val="0"/>
                <w:sz w:val="22"/>
              </w:rPr>
              <w:t>Texte de référence</w:t>
            </w:r>
          </w:p>
        </w:tc>
        <w:tc>
          <w:tcPr>
            <w:tcW w:type="dxa" w:w="7087"/>
            <w:shd w:val="clear" w:color="auto" w:fill="E8EEF7"/>
          </w:tcPr>
          <w:p>
            <w:r/>
            <w:r>
              <w:rPr>
                <w:b w:val="0"/>
                <w:sz w:val="22"/>
              </w:rPr>
              <w:t>Arrêté du 5 décembre 2023 (JO du 20/12/2023) — parcours depuis le 08/02/2024, enregistrement jusqu'au 08/02/2029</w:t>
            </w:r>
          </w:p>
        </w:tc>
      </w:tr>
      <w:tr>
        <w:trPr>
          <w:cantSplit w:val="true"/>
        </w:trPr>
        <w:tc>
          <w:tcPr>
            <w:tcW w:type="dxa" w:w="2551"/>
          </w:tcPr>
          <w:p>
            <w:r/>
            <w:r>
              <w:rPr>
                <w:b w:val="0"/>
                <w:sz w:val="22"/>
              </w:rPr>
              <w:t>Référentiels</w:t>
            </w:r>
          </w:p>
        </w:tc>
        <w:tc>
          <w:tcPr>
            <w:tcW w:type="dxa" w:w="7087"/>
          </w:tcPr>
          <w:p>
            <w:r/>
            <w:r>
              <w:rPr>
                <w:b w:val="0"/>
                <w:sz w:val="22"/>
              </w:rPr>
              <w:t xml:space="preserve">Compétences de la fiche RNCP38575 (version en vigueur). REAC et référentiel d'évaluation millésime 08 (2023) </w:t>
            </w:r>
            <w:r>
              <w:rPr>
                <w:b/>
                <w:i/>
                <w:color w:val="8A6D1F"/>
                <w:sz w:val="22"/>
              </w:rPr>
              <w:t>[À VÉRIFIER : documents à joindre — ceux transmis concernent l'ancienne version RNCP35646 de 2016]</w:t>
            </w:r>
          </w:p>
        </w:tc>
      </w:tr>
      <w:tr>
        <w:trPr>
          <w:cantSplit w:val="true"/>
        </w:trPr>
        <w:tc>
          <w:tcPr>
            <w:tcW w:type="dxa" w:w="2551"/>
            <w:shd w:val="clear" w:color="auto" w:fill="E8EEF7"/>
          </w:tcPr>
          <w:p>
            <w:r/>
            <w:r>
              <w:rPr>
                <w:b w:val="0"/>
                <w:sz w:val="22"/>
              </w:rPr>
              <w:t>Codes ROME</w:t>
            </w:r>
          </w:p>
        </w:tc>
        <w:tc>
          <w:tcPr>
            <w:tcW w:type="dxa" w:w="7087"/>
            <w:shd w:val="clear" w:color="auto" w:fill="E8EEF7"/>
          </w:tcPr>
          <w:p>
            <w:r/>
            <w:r>
              <w:rPr>
                <w:b w:val="0"/>
                <w:sz w:val="22"/>
              </w:rPr>
              <w:t>M1302 — Direction de petite ou moyenne entreprise</w:t>
            </w:r>
          </w:p>
        </w:tc>
      </w:tr>
      <w:tr>
        <w:trPr>
          <w:cantSplit w:val="true"/>
        </w:trPr>
        <w:tc>
          <w:tcPr>
            <w:tcW w:type="dxa" w:w="2551"/>
          </w:tcPr>
          <w:p>
            <w:r/>
            <w:r>
              <w:rPr>
                <w:b w:val="0"/>
                <w:sz w:val="22"/>
              </w:rPr>
              <w:t>Code NSF</w:t>
            </w:r>
          </w:p>
        </w:tc>
        <w:tc>
          <w:tcPr>
            <w:tcW w:type="dxa" w:w="7087"/>
          </w:tcPr>
          <w:p>
            <w:r/>
            <w:r>
              <w:rPr>
                <w:b w:val="0"/>
                <w:sz w:val="22"/>
              </w:rPr>
              <w:t>310p — Spécialités plurivalentes des échanges et de la gestion</w:t>
            </w:r>
          </w:p>
        </w:tc>
      </w:tr>
      <w:tr>
        <w:trPr>
          <w:cantSplit w:val="true"/>
        </w:trPr>
        <w:tc>
          <w:tcPr>
            <w:tcW w:type="dxa" w:w="2551"/>
            <w:shd w:val="clear" w:color="auto" w:fill="E8EEF7"/>
          </w:tcPr>
          <w:p>
            <w:r/>
            <w:r>
              <w:rPr>
                <w:b w:val="0"/>
                <w:sz w:val="22"/>
              </w:rPr>
              <w:t>Formacodes</w:t>
            </w:r>
          </w:p>
        </w:tc>
        <w:tc>
          <w:tcPr>
            <w:tcW w:type="dxa" w:w="7087"/>
            <w:shd w:val="clear" w:color="auto" w:fill="E8EEF7"/>
          </w:tcPr>
          <w:p>
            <w:r/>
            <w:r>
              <w:rPr>
                <w:b w:val="0"/>
                <w:sz w:val="22"/>
              </w:rPr>
              <w:t>32094, 13175, 32008, 32047, 32048</w:t>
            </w:r>
          </w:p>
        </w:tc>
      </w:tr>
      <w:tr>
        <w:trPr>
          <w:cantSplit w:val="true"/>
        </w:trPr>
        <w:tc>
          <w:tcPr>
            <w:tcW w:type="dxa" w:w="2551"/>
          </w:tcPr>
          <w:p>
            <w:r/>
            <w:r>
              <w:rPr>
                <w:b w:val="0"/>
                <w:sz w:val="22"/>
              </w:rPr>
              <w:t>Organisme</w:t>
            </w:r>
          </w:p>
        </w:tc>
        <w:tc>
          <w:tcPr>
            <w:tcW w:type="dxa" w:w="7087"/>
          </w:tcPr>
          <w:p>
            <w:r/>
            <w:r>
              <w:rPr>
                <w:b w:val="0"/>
                <w:sz w:val="22"/>
              </w:rPr>
              <w:t>YEBA FORMATIONS — Entreprise individuelle — SIRET 814 622 262 00032 — NDA 04973676397 — Qualiopi 25FOR02027.1</w:t>
            </w:r>
          </w:p>
        </w:tc>
      </w:tr>
    </w:tbl>
    <w:p/>
    <w:p>
      <w:pPr>
        <w:pStyle w:val="Heading1"/>
      </w:pPr>
      <w:r>
        <w:t>2. Public, prérequis et admission</w:t>
      </w:r>
    </w:p>
    <w:p>
      <w:r>
        <w:rPr>
          <w:b w:val="0"/>
        </w:rPr>
        <w:t>Salariés en évolution vers une fonction de direction, créateurs et repreneurs d'entreprise, responsables associatifs, demandeurs d'emploi expérimentés, personnes en situation de handicap (parcours adapté).</w:t>
      </w:r>
    </w:p>
    <w:p>
      <w:pPr>
        <w:pStyle w:val="ListBullet"/>
      </w:pPr>
      <w:r>
        <w:rPr>
          <w:b w:val="0"/>
        </w:rPr>
        <w:t>Aucun prérequis réglementaire n'est fixé par le titre.</w:t>
      </w:r>
    </w:p>
    <w:p>
      <w:pPr>
        <w:pStyle w:val="ListBullet"/>
      </w:pPr>
      <w:r>
        <w:rPr>
          <w:b w:val="0"/>
        </w:rPr>
        <w:t>Critères d'admission YEBA FORMATIONS : au moins 2 ans d'expérience professionnelle (encadrement, gestion, commerce ou responsabilité associative) OU projet de création ou de reprise étayé ; niveau 4 conseillé.</w:t>
      </w:r>
    </w:p>
    <w:p>
      <w:pPr>
        <w:pStyle w:val="ListBullet"/>
      </w:pPr>
      <w:r>
        <w:rPr>
          <w:b w:val="0"/>
        </w:rPr>
        <w:t>Admission après : information collective, positionnement et entretien individuel de motivation.</w:t>
      </w:r>
    </w:p>
    <w:p>
      <w:pPr>
        <w:pStyle w:val="Heading3"/>
      </w:pPr>
      <w:r>
        <w:t>Délais d'accès</w:t>
      </w:r>
    </w:p>
    <w:p>
      <w:pPr>
        <w:pStyle w:val="ListBullet"/>
      </w:pPr>
      <w:r>
        <w:rPr>
          <w:b w:val="0"/>
        </w:rPr>
        <w:t>Informations collectives : au moins deux, entre 3 et 1 mois avant le démarrage.</w:t>
      </w:r>
    </w:p>
    <w:p>
      <w:pPr>
        <w:pStyle w:val="ListBullet"/>
      </w:pPr>
      <w:r>
        <w:rPr>
          <w:b w:val="0"/>
        </w:rPr>
        <w:t>Réponse écrite à chaque candidature sous 10 jours ouvrés après l'entretien.</w:t>
      </w:r>
    </w:p>
    <w:p>
      <w:pPr>
        <w:pStyle w:val="ListBullet"/>
      </w:pPr>
      <w:r>
        <w:rPr>
          <w:b w:val="0"/>
        </w:rPr>
        <w:t>Inscription possible jusqu'à 10 jours ouvrés avant le démarrage, sous réserve de places et de financement.</w:t>
      </w:r>
    </w:p>
    <w:p>
      <w:pPr>
        <w:pStyle w:val="ListBullet"/>
      </w:pPr>
      <w:r>
        <w:rPr>
          <w:b w:val="0"/>
        </w:rPr>
        <w:t xml:space="preserve">Financement CPF : respect du délai imposé par Mon Compte Formation entre la proposition et l'entrée </w:t>
      </w:r>
      <w:r>
        <w:rPr>
          <w:b/>
          <w:i/>
          <w:color w:val="8A6D1F"/>
        </w:rPr>
        <w:t>[À VÉRIFIER : délai en vigueur]</w:t>
      </w:r>
      <w:r>
        <w:rPr>
          <w:b w:val="0"/>
        </w:rPr>
        <w:t>.</w:t>
      </w:r>
    </w:p>
    <w:p>
      <w:pPr>
        <w:pStyle w:val="Heading1"/>
      </w:pPr>
      <w:r>
        <w:t>3. Objectifs de la formation</w:t>
      </w:r>
    </w:p>
    <w:p>
      <w:r>
        <w:rPr>
          <w:b w:val="0"/>
        </w:rPr>
        <w:t>À l'issue de la formation, le stagiaire est capable d'exercer l'emploi de responsable de petite ou moyenne structure et de se présenter aux épreuves du titre professionnel. Les objectifs reprennent les compétences professionnelles du référentiel :</w:t>
      </w:r>
    </w:p>
    <w:p>
      <w:pPr>
        <w:pStyle w:val="Heading3"/>
      </w:pPr>
      <w:r>
        <w:t>CCP1 — Diriger une structure avec une équipe</w:t>
      </w:r>
    </w:p>
    <w:p>
      <w:pPr>
        <w:pStyle w:val="ListBullet"/>
      </w:pPr>
      <w:r>
        <w:rPr>
          <w:b w:val="0"/>
        </w:rPr>
        <w:t>Développer une vision systémique de la structure dans son environnement : Analyser la structure, sa gouvernance et ses interactions avec son environnement.</w:t>
      </w:r>
    </w:p>
    <w:p>
      <w:pPr>
        <w:pStyle w:val="ListBullet"/>
      </w:pPr>
      <w:r>
        <w:rPr>
          <w:b w:val="0"/>
        </w:rPr>
        <w:t>Inscrire la structure dans son territoire : Positionner la structure dans son écosystème et développer ses partenariats.</w:t>
      </w:r>
    </w:p>
    <w:p>
      <w:pPr>
        <w:pStyle w:val="ListBullet"/>
      </w:pPr>
      <w:r>
        <w:rPr>
          <w:b w:val="0"/>
        </w:rPr>
        <w:t>Manager et animer une équipe : Diriger une équipe au quotidien dans le respect du droit du travail et de la QVCT.</w:t>
      </w:r>
    </w:p>
    <w:p>
      <w:pPr>
        <w:pStyle w:val="Heading3"/>
      </w:pPr>
      <w:r>
        <w:t>CCP2 — Mettre en œuvre l'objet social de la structure</w:t>
      </w:r>
    </w:p>
    <w:p>
      <w:pPr>
        <w:pStyle w:val="ListBullet"/>
      </w:pPr>
      <w:r>
        <w:rPr>
          <w:b w:val="0"/>
        </w:rPr>
        <w:t>Adapter l'offre de la structure à la demande : Analyser le marché et faire évoluer l'offre de biens et de services.</w:t>
      </w:r>
    </w:p>
    <w:p>
      <w:pPr>
        <w:pStyle w:val="ListBullet"/>
      </w:pPr>
      <w:r>
        <w:rPr>
          <w:b w:val="0"/>
        </w:rPr>
        <w:t>Organiser et développer la diffusion de l'offre : Construire et piloter un plan d'action commercial.</w:t>
      </w:r>
    </w:p>
    <w:p>
      <w:pPr>
        <w:pStyle w:val="ListBullet"/>
      </w:pPr>
      <w:r>
        <w:rPr>
          <w:b w:val="0"/>
        </w:rPr>
        <w:t>Organiser la production : Organiser la production de biens ou de services avec qualité et efficience.</w:t>
      </w:r>
    </w:p>
    <w:p>
      <w:pPr>
        <w:pStyle w:val="Heading3"/>
      </w:pPr>
      <w:r>
        <w:t>CCP3 — Établir et présenter un rapport d'activité de la structure</w:t>
      </w:r>
    </w:p>
    <w:p>
      <w:pPr>
        <w:pStyle w:val="ListBullet"/>
      </w:pPr>
      <w:r>
        <w:rPr>
          <w:b w:val="0"/>
        </w:rPr>
        <w:t>Analyser le bilan de la structure : Lire et interpréter le bilan d'une structure.</w:t>
      </w:r>
    </w:p>
    <w:p>
      <w:pPr>
        <w:pStyle w:val="ListBullet"/>
      </w:pPr>
      <w:r>
        <w:rPr>
          <w:b w:val="0"/>
        </w:rPr>
        <w:t>Analyser le compte de résultat de la structure : Interpréter le compte de résultat et piloter la rentabilité.</w:t>
      </w:r>
    </w:p>
    <w:p>
      <w:pPr>
        <w:pStyle w:val="ListBullet"/>
      </w:pPr>
      <w:r>
        <w:rPr>
          <w:b w:val="0"/>
        </w:rPr>
        <w:t>Rédiger le rapport d'activité de la structure : Produire et présenter un rapport d'activité clair à la gouvernance.</w:t>
      </w:r>
    </w:p>
    <w:p>
      <w:pPr>
        <w:pStyle w:val="Heading3"/>
      </w:pPr>
      <w:r>
        <w:t>Compétences complémentaires (plus-value YEBA FORMATIONS)</w:t>
      </w:r>
    </w:p>
    <w:p>
      <w:pPr>
        <w:pStyle w:val="ListBullet"/>
      </w:pPr>
      <w:r>
        <w:rPr>
          <w:b w:val="0"/>
        </w:rPr>
        <w:t>Accueil, intégration et positionnement (14 h) : Comprendre le parcours, ses règles et ses exigences, et choisir son projet fil rouge.</w:t>
      </w:r>
    </w:p>
    <w:p>
      <w:pPr>
        <w:pStyle w:val="ListBullet"/>
      </w:pPr>
      <w:r>
        <w:rPr>
          <w:b w:val="0"/>
        </w:rPr>
        <w:t>Préparer la période en entreprise (14 h) : Trouver la structure d'accueil et préparer la collecte des éléments du dossier de projet.</w:t>
      </w:r>
    </w:p>
    <w:p>
      <w:pPr>
        <w:pStyle w:val="ListBullet"/>
      </w:pPr>
      <w:r>
        <w:rPr>
          <w:b w:val="0"/>
        </w:rPr>
        <w:t>Anglais professionnel de base (14 h) : Répondre à des demandes simples d'un interlocuteur anglophone.</w:t>
      </w:r>
    </w:p>
    <w:p>
      <w:pPr>
        <w:pStyle w:val="ListBullet"/>
      </w:pPr>
      <w:r>
        <w:rPr>
          <w:b w:val="0"/>
        </w:rPr>
        <w:t>Bilan individuel de mi-parcours (7 h) : Faire le point sur sa progression, ses freins et son projet avant la période en entreprise.</w:t>
      </w:r>
    </w:p>
    <w:p>
      <w:pPr>
        <w:pStyle w:val="ListBullet"/>
      </w:pPr>
      <w:r>
        <w:rPr>
          <w:b w:val="0"/>
        </w:rPr>
        <w:t>IA, données et gouvernance du dirigeant (42 h) : Piloter l'usage de l'IA dans une petite structure de façon rentable et conforme.</w:t>
      </w:r>
    </w:p>
    <w:p>
      <w:pPr>
        <w:pStyle w:val="ListBullet"/>
      </w:pPr>
      <w:r>
        <w:rPr>
          <w:b w:val="0"/>
        </w:rPr>
        <w:t>Dossier de projet, dossier professionnel et diaporama (21 h) : Finaliser le dossier de projet, le diaporama et le dossier professionnel.</w:t>
      </w:r>
    </w:p>
    <w:p>
      <w:pPr>
        <w:pStyle w:val="ListBullet"/>
      </w:pPr>
      <w:r>
        <w:rPr>
          <w:b w:val="0"/>
        </w:rPr>
        <w:t>Entraînement à l'épreuve du titre (14 h) : Présenter son projet et répondre au jury avec aisance.</w:t>
      </w:r>
    </w:p>
    <w:p>
      <w:pPr>
        <w:pStyle w:val="Heading1"/>
      </w:pPr>
      <w:r>
        <w:t>4. Durée, dates, horaires et lieu</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B3A6B"/>
          </w:tcPr>
          <w:p>
            <w:r/>
            <w:r>
              <w:rPr>
                <w:b/>
                <w:color w:val="FFFFFF"/>
                <w:sz w:val="22"/>
              </w:rPr>
              <w:t>Élément</w:t>
            </w:r>
          </w:p>
        </w:tc>
        <w:tc>
          <w:tcPr>
            <w:tcW w:type="dxa" w:w="7087"/>
            <w:shd w:val="clear" w:color="auto" w:fill="1B3A6B"/>
          </w:tcPr>
          <w:p>
            <w:r/>
            <w:r>
              <w:rPr>
                <w:b/>
                <w:color w:val="FFFFFF"/>
                <w:sz w:val="22"/>
              </w:rPr>
              <w:t>Valeur</w:t>
            </w:r>
          </w:p>
        </w:tc>
      </w:tr>
      <w:tr>
        <w:trPr>
          <w:cantSplit w:val="true"/>
        </w:trPr>
        <w:tc>
          <w:tcPr>
            <w:tcW w:type="dxa" w:w="2551"/>
          </w:tcPr>
          <w:p>
            <w:r/>
            <w:r>
              <w:rPr>
                <w:b w:val="0"/>
                <w:sz w:val="22"/>
              </w:rPr>
              <w:t>Durée en centre</w:t>
            </w:r>
          </w:p>
        </w:tc>
        <w:tc>
          <w:tcPr>
            <w:tcW w:type="dxa" w:w="7087"/>
          </w:tcPr>
          <w:p>
            <w:r/>
            <w:r>
              <w:rPr>
                <w:b w:val="0"/>
                <w:sz w:val="22"/>
              </w:rPr>
              <w:t>595 heures (85 jours de 7 h)</w:t>
            </w:r>
          </w:p>
        </w:tc>
      </w:tr>
      <w:tr>
        <w:trPr>
          <w:cantSplit w:val="true"/>
        </w:trPr>
        <w:tc>
          <w:tcPr>
            <w:tcW w:type="dxa" w:w="2551"/>
            <w:shd w:val="clear" w:color="auto" w:fill="E8EEF7"/>
          </w:tcPr>
          <w:p>
            <w:r/>
            <w:r>
              <w:rPr>
                <w:b w:val="0"/>
                <w:sz w:val="22"/>
              </w:rPr>
              <w:t>Période en entreprise</w:t>
            </w:r>
          </w:p>
        </w:tc>
        <w:tc>
          <w:tcPr>
            <w:tcW w:type="dxa" w:w="7087"/>
            <w:shd w:val="clear" w:color="auto" w:fill="E8EEF7"/>
          </w:tcPr>
          <w:p>
            <w:r/>
            <w:r>
              <w:rPr>
                <w:b w:val="0"/>
                <w:sz w:val="22"/>
              </w:rPr>
              <w:t>210 heures — 210 h minimum — référentiel d'évaluation RPMS v08 (21/12/2023), cité par plusieurs organismes ; à confirmer sur le document officiel</w:t>
            </w:r>
          </w:p>
        </w:tc>
      </w:tr>
      <w:tr>
        <w:trPr>
          <w:cantSplit w:val="true"/>
        </w:trPr>
        <w:tc>
          <w:tcPr>
            <w:tcW w:type="dxa" w:w="2551"/>
          </w:tcPr>
          <w:p>
            <w:r/>
            <w:r>
              <w:rPr>
                <w:b w:val="0"/>
                <w:sz w:val="22"/>
              </w:rPr>
              <w:t>Durée totale</w:t>
            </w:r>
          </w:p>
        </w:tc>
        <w:tc>
          <w:tcPr>
            <w:tcW w:type="dxa" w:w="7087"/>
          </w:tcPr>
          <w:p>
            <w:r/>
            <w:r>
              <w:rPr>
                <w:b w:val="0"/>
                <w:sz w:val="22"/>
              </w:rPr>
              <w:t>805 heures, hors session d'examen</w:t>
            </w:r>
          </w:p>
        </w:tc>
      </w:tr>
      <w:tr>
        <w:trPr>
          <w:cantSplit w:val="true"/>
        </w:trPr>
        <w:tc>
          <w:tcPr>
            <w:tcW w:type="dxa" w:w="2551"/>
            <w:shd w:val="clear" w:color="auto" w:fill="E8EEF7"/>
          </w:tcPr>
          <w:p>
            <w:r/>
            <w:r>
              <w:rPr>
                <w:b w:val="0"/>
                <w:sz w:val="22"/>
              </w:rPr>
              <w:t>Dates proposées</w:t>
            </w:r>
          </w:p>
        </w:tc>
        <w:tc>
          <w:tcPr>
            <w:tcW w:type="dxa" w:w="7087"/>
            <w:shd w:val="clear" w:color="auto" w:fill="E8EEF7"/>
          </w:tcPr>
          <w:p>
            <w:r/>
            <w:r>
              <w:rPr>
                <w:b w:val="0"/>
                <w:sz w:val="22"/>
              </w:rPr>
              <w:t>du lundi 6 septembre 2027 au mardi 29 février 2028</w:t>
            </w:r>
          </w:p>
        </w:tc>
      </w:tr>
      <w:tr>
        <w:trPr>
          <w:cantSplit w:val="true"/>
        </w:trPr>
        <w:tc>
          <w:tcPr>
            <w:tcW w:type="dxa" w:w="2551"/>
          </w:tcPr>
          <w:p>
            <w:r/>
            <w:r>
              <w:rPr>
                <w:b w:val="0"/>
                <w:sz w:val="22"/>
              </w:rPr>
              <w:t>Session d'examen</w:t>
            </w:r>
          </w:p>
        </w:tc>
        <w:tc>
          <w:tcPr>
            <w:tcW w:type="dxa" w:w="7087"/>
          </w:tcPr>
          <w:p>
            <w:r/>
            <w:r>
              <w:rPr>
                <w:b w:val="0"/>
                <w:sz w:val="22"/>
              </w:rPr>
              <w:t xml:space="preserve">semaine du 06/03/2028 au 10/03/2028 </w:t>
            </w:r>
            <w:r>
              <w:rPr>
                <w:b/>
                <w:i/>
                <w:color w:val="8A6D1F"/>
                <w:sz w:val="22"/>
              </w:rPr>
              <w:t>[À VÉRIFIER : date fixée avec la DEETS ou le centre agréé]</w:t>
            </w:r>
          </w:p>
        </w:tc>
      </w:tr>
      <w:tr>
        <w:trPr>
          <w:cantSplit w:val="true"/>
        </w:trPr>
        <w:tc>
          <w:tcPr>
            <w:tcW w:type="dxa" w:w="2551"/>
            <w:shd w:val="clear" w:color="auto" w:fill="E8EEF7"/>
          </w:tcPr>
          <w:p>
            <w:r/>
            <w:r>
              <w:rPr>
                <w:b w:val="0"/>
                <w:sz w:val="22"/>
              </w:rPr>
              <w:t>Horaires</w:t>
            </w:r>
          </w:p>
        </w:tc>
        <w:tc>
          <w:tcPr>
            <w:tcW w:type="dxa" w:w="7087"/>
            <w:shd w:val="clear" w:color="auto" w:fill="E8EEF7"/>
          </w:tcPr>
          <w:p>
            <w:r/>
            <w:r>
              <w:rPr>
                <w:b w:val="0"/>
                <w:sz w:val="22"/>
              </w:rPr>
              <w:t>8 h 00 – 16 h 00 — matin 8 h 00 – 12 h 00 (4 h), après-midi 13 h 00 – 16 h 00 (3 h)</w:t>
            </w:r>
          </w:p>
        </w:tc>
      </w:tr>
      <w:tr>
        <w:trPr>
          <w:cantSplit w:val="true"/>
        </w:trPr>
        <w:tc>
          <w:tcPr>
            <w:tcW w:type="dxa" w:w="2551"/>
          </w:tcPr>
          <w:p>
            <w:r/>
            <w:r>
              <w:rPr>
                <w:b w:val="0"/>
                <w:sz w:val="22"/>
              </w:rPr>
              <w:t>Pauses</w:t>
            </w:r>
          </w:p>
        </w:tc>
        <w:tc>
          <w:tcPr>
            <w:tcW w:type="dxa" w:w="7087"/>
          </w:tcPr>
          <w:p>
            <w:r/>
            <w:r>
              <w:rPr>
                <w:b w:val="0"/>
                <w:sz w:val="22"/>
              </w:rPr>
              <w:t>10 h 00 – 10 h 15 et 15 h 00 – 15 h 15 ; déjeuner 12 h 00 – 13 h 00 (non comptée dans la durée de formation)</w:t>
            </w:r>
          </w:p>
        </w:tc>
      </w:tr>
      <w:tr>
        <w:trPr>
          <w:cantSplit w:val="true"/>
        </w:trPr>
        <w:tc>
          <w:tcPr>
            <w:tcW w:type="dxa" w:w="2551"/>
            <w:shd w:val="clear" w:color="auto" w:fill="E8EEF7"/>
          </w:tcPr>
          <w:p>
            <w:r/>
            <w:r>
              <w:rPr>
                <w:b w:val="0"/>
                <w:sz w:val="22"/>
              </w:rPr>
              <w:t>Lieu</w:t>
            </w:r>
          </w:p>
        </w:tc>
        <w:tc>
          <w:tcPr>
            <w:tcW w:type="dxa" w:w="7087"/>
            <w:shd w:val="clear" w:color="auto" w:fill="E8EEF7"/>
          </w:tcPr>
          <w:p>
            <w:r/>
            <w:r>
              <w:rPr>
                <w:b w:val="0"/>
                <w:sz w:val="22"/>
              </w:rPr>
              <w:t>Secrétariat Center — 7 rue Henri Cornu — 97490 Saint-Denis</w:t>
            </w:r>
          </w:p>
        </w:tc>
      </w:tr>
      <w:tr>
        <w:trPr>
          <w:cantSplit w:val="true"/>
        </w:trPr>
        <w:tc>
          <w:tcPr>
            <w:tcW w:type="dxa" w:w="2551"/>
          </w:tcPr>
          <w:p>
            <w:r/>
            <w:r>
              <w:rPr>
                <w:b w:val="0"/>
                <w:sz w:val="22"/>
              </w:rPr>
              <w:t>Accessibilité</w:t>
            </w:r>
          </w:p>
        </w:tc>
        <w:tc>
          <w:tcPr>
            <w:tcW w:type="dxa" w:w="7087"/>
          </w:tcPr>
          <w:p>
            <w:r/>
            <w:r>
              <w:rPr>
                <w:b/>
                <w:i/>
                <w:color w:val="8A6D1F"/>
                <w:sz w:val="22"/>
              </w:rPr>
              <w:t>[À VÉRIFIER : accès PMR, toilettes adaptées et salle de pause du Secrétariat Center]</w:t>
            </w:r>
          </w:p>
        </w:tc>
      </w:tr>
      <w:tr>
        <w:trPr>
          <w:cantSplit w:val="true"/>
        </w:trPr>
        <w:tc>
          <w:tcPr>
            <w:tcW w:type="dxa" w:w="2551"/>
            <w:shd w:val="clear" w:color="auto" w:fill="E8EEF7"/>
          </w:tcPr>
          <w:p>
            <w:r/>
            <w:r>
              <w:rPr>
                <w:b w:val="0"/>
                <w:sz w:val="22"/>
              </w:rPr>
              <w:t>Effectif</w:t>
            </w:r>
          </w:p>
        </w:tc>
        <w:tc>
          <w:tcPr>
            <w:tcW w:type="dxa" w:w="7087"/>
            <w:shd w:val="clear" w:color="auto" w:fill="E8EEF7"/>
          </w:tcPr>
          <w:p>
            <w:r/>
            <w:r>
              <w:rPr>
                <w:b/>
                <w:i/>
                <w:color w:val="8A6D1F"/>
                <w:sz w:val="22"/>
              </w:rPr>
              <w:t>[À COMPLÉTER : minimum et maximum, par exemple 8 à 12 stagiaires]</w:t>
            </w:r>
          </w:p>
        </w:tc>
      </w:tr>
      <w:tr>
        <w:trPr>
          <w:cantSplit w:val="true"/>
        </w:trPr>
        <w:tc>
          <w:tcPr>
            <w:tcW w:type="dxa" w:w="2551"/>
          </w:tcPr>
          <w:p>
            <w:r/>
            <w:r>
              <w:rPr>
                <w:b w:val="0"/>
                <w:sz w:val="22"/>
              </w:rPr>
              <w:t>Modalité</w:t>
            </w:r>
          </w:p>
        </w:tc>
        <w:tc>
          <w:tcPr>
            <w:tcW w:type="dxa" w:w="7087"/>
          </w:tcPr>
          <w:p>
            <w:r/>
            <w:r>
              <w:rPr>
                <w:b w:val="0"/>
                <w:sz w:val="22"/>
              </w:rPr>
              <w:t>Présentiel</w:t>
            </w:r>
          </w:p>
        </w:tc>
      </w:tr>
    </w:tbl>
    <w:p/>
    <w:p>
      <w:pPr>
        <w:pStyle w:val="Heading1"/>
      </w:pPr>
      <w:r>
        <w:t>5. Contenu</w:t>
      </w:r>
    </w:p>
    <w:tbl>
      <w:tblPr>
        <w:tblStyle w:val="TableGrid"/>
        <w:tblW w:type="auto" w:w="0"/>
        <w:jc w:val="center"/>
        <w:tblLayout w:type="fixed"/>
        <w:tblLook w:firstColumn="1" w:firstRow="1" w:lastColumn="0" w:lastRow="0" w:noHBand="0" w:noVBand="1" w:val="04A0"/>
      </w:tblPr>
      <w:tblGrid>
        <w:gridCol w:w="1020"/>
        <w:gridCol w:w="5216"/>
        <w:gridCol w:w="2154"/>
        <w:gridCol w:w="1247"/>
      </w:tblGrid>
      <w:tr>
        <w:trPr>
          <w:tblHeader w:val="true"/>
        </w:trPr>
        <w:tc>
          <w:tcPr>
            <w:tcW w:type="dxa" w:w="1020"/>
            <w:shd w:val="clear" w:color="auto" w:fill="1B3A6B"/>
          </w:tcPr>
          <w:p>
            <w:r/>
            <w:r>
              <w:rPr>
                <w:b/>
                <w:color w:val="FFFFFF"/>
                <w:sz w:val="22"/>
              </w:rPr>
              <w:t>Code</w:t>
            </w:r>
          </w:p>
        </w:tc>
        <w:tc>
          <w:tcPr>
            <w:tcW w:type="dxa" w:w="5216"/>
            <w:shd w:val="clear" w:color="auto" w:fill="1B3A6B"/>
          </w:tcPr>
          <w:p>
            <w:r/>
            <w:r>
              <w:rPr>
                <w:b/>
                <w:color w:val="FFFFFF"/>
                <w:sz w:val="22"/>
              </w:rPr>
              <w:t>Module</w:t>
            </w:r>
          </w:p>
        </w:tc>
        <w:tc>
          <w:tcPr>
            <w:tcW w:type="dxa" w:w="2154"/>
            <w:shd w:val="clear" w:color="auto" w:fill="1B3A6B"/>
          </w:tcPr>
          <w:p>
            <w:r/>
            <w:r>
              <w:rPr>
                <w:b/>
                <w:color w:val="FFFFFF"/>
                <w:sz w:val="22"/>
              </w:rPr>
              <w:t>Rattachement</w:t>
            </w:r>
          </w:p>
        </w:tc>
        <w:tc>
          <w:tcPr>
            <w:tcW w:type="dxa" w:w="1247"/>
            <w:shd w:val="clear" w:color="auto" w:fill="1B3A6B"/>
          </w:tcPr>
          <w:p>
            <w:r/>
            <w:r>
              <w:rPr>
                <w:b/>
                <w:color w:val="FFFFFF"/>
                <w:sz w:val="22"/>
              </w:rPr>
              <w:t>Heures</w:t>
            </w:r>
          </w:p>
        </w:tc>
      </w:tr>
      <w:tr>
        <w:trPr>
          <w:cantSplit w:val="true"/>
        </w:trPr>
        <w:tc>
          <w:tcPr>
            <w:tcW w:type="dxa" w:w="1020"/>
          </w:tcPr>
          <w:p>
            <w:r/>
            <w:r>
              <w:rPr>
                <w:b w:val="0"/>
                <w:sz w:val="22"/>
              </w:rPr>
              <w:t>M0</w:t>
            </w:r>
          </w:p>
        </w:tc>
        <w:tc>
          <w:tcPr>
            <w:tcW w:type="dxa" w:w="5216"/>
          </w:tcPr>
          <w:p>
            <w:r/>
            <w:r>
              <w:rPr>
                <w:b w:val="0"/>
                <w:sz w:val="22"/>
              </w:rPr>
              <w:t>Accueil, intégration et positionnement</w:t>
            </w:r>
          </w:p>
        </w:tc>
        <w:tc>
          <w:tcPr>
            <w:tcW w:type="dxa" w:w="2154"/>
          </w:tcPr>
          <w:p>
            <w:r/>
            <w:r>
              <w:rPr>
                <w:b w:val="0"/>
                <w:sz w:val="22"/>
              </w:rPr>
              <w:t>Transversal</w:t>
            </w:r>
          </w:p>
        </w:tc>
        <w:tc>
          <w:tcPr>
            <w:tcW w:type="dxa" w:w="1247"/>
          </w:tcPr>
          <w:p>
            <w:r/>
            <w:r>
              <w:rPr>
                <w:b w:val="0"/>
                <w:sz w:val="22"/>
              </w:rPr>
              <w:t>14</w:t>
            </w:r>
          </w:p>
        </w:tc>
      </w:tr>
      <w:tr>
        <w:trPr>
          <w:cantSplit w:val="true"/>
        </w:trPr>
        <w:tc>
          <w:tcPr>
            <w:tcW w:type="dxa" w:w="1020"/>
            <w:shd w:val="clear" w:color="auto" w:fill="E8EEF7"/>
          </w:tcPr>
          <w:p>
            <w:r/>
            <w:r>
              <w:rPr>
                <w:b w:val="0"/>
                <w:sz w:val="22"/>
              </w:rPr>
              <w:t>M1.1</w:t>
            </w:r>
          </w:p>
        </w:tc>
        <w:tc>
          <w:tcPr>
            <w:tcW w:type="dxa" w:w="5216"/>
            <w:shd w:val="clear" w:color="auto" w:fill="E8EEF7"/>
          </w:tcPr>
          <w:p>
            <w:r/>
            <w:r>
              <w:rPr>
                <w:b w:val="0"/>
                <w:sz w:val="22"/>
              </w:rPr>
              <w:t>Développer une vision systémique de la structure dans son environnement</w:t>
            </w:r>
          </w:p>
        </w:tc>
        <w:tc>
          <w:tcPr>
            <w:tcW w:type="dxa" w:w="2154"/>
            <w:shd w:val="clear" w:color="auto" w:fill="E8EEF7"/>
          </w:tcPr>
          <w:p>
            <w:r/>
            <w:r>
              <w:rPr>
                <w:b w:val="0"/>
                <w:sz w:val="22"/>
              </w:rPr>
              <w:t>CCP1 — CP1</w:t>
            </w:r>
          </w:p>
        </w:tc>
        <w:tc>
          <w:tcPr>
            <w:tcW w:type="dxa" w:w="1247"/>
            <w:shd w:val="clear" w:color="auto" w:fill="E8EEF7"/>
          </w:tcPr>
          <w:p>
            <w:r/>
            <w:r>
              <w:rPr>
                <w:b w:val="0"/>
                <w:sz w:val="22"/>
              </w:rPr>
              <w:t>49</w:t>
            </w:r>
          </w:p>
        </w:tc>
      </w:tr>
      <w:tr>
        <w:trPr>
          <w:cantSplit w:val="true"/>
        </w:trPr>
        <w:tc>
          <w:tcPr>
            <w:tcW w:type="dxa" w:w="1020"/>
          </w:tcPr>
          <w:p>
            <w:r/>
            <w:r>
              <w:rPr>
                <w:b w:val="0"/>
                <w:sz w:val="22"/>
              </w:rPr>
              <w:t>M1.2</w:t>
            </w:r>
          </w:p>
        </w:tc>
        <w:tc>
          <w:tcPr>
            <w:tcW w:type="dxa" w:w="5216"/>
          </w:tcPr>
          <w:p>
            <w:r/>
            <w:r>
              <w:rPr>
                <w:b w:val="0"/>
                <w:sz w:val="22"/>
              </w:rPr>
              <w:t>Inscrire la structure dans son territoire</w:t>
            </w:r>
          </w:p>
        </w:tc>
        <w:tc>
          <w:tcPr>
            <w:tcW w:type="dxa" w:w="2154"/>
          </w:tcPr>
          <w:p>
            <w:r/>
            <w:r>
              <w:rPr>
                <w:b w:val="0"/>
                <w:sz w:val="22"/>
              </w:rPr>
              <w:t>CCP1 — CP2</w:t>
            </w:r>
          </w:p>
        </w:tc>
        <w:tc>
          <w:tcPr>
            <w:tcW w:type="dxa" w:w="1247"/>
          </w:tcPr>
          <w:p>
            <w:r/>
            <w:r>
              <w:rPr>
                <w:b w:val="0"/>
                <w:sz w:val="22"/>
              </w:rPr>
              <w:t>35</w:t>
            </w:r>
          </w:p>
        </w:tc>
      </w:tr>
      <w:tr>
        <w:trPr>
          <w:cantSplit w:val="true"/>
        </w:trPr>
        <w:tc>
          <w:tcPr>
            <w:tcW w:type="dxa" w:w="1020"/>
            <w:shd w:val="clear" w:color="auto" w:fill="E8EEF7"/>
          </w:tcPr>
          <w:p>
            <w:r/>
            <w:r>
              <w:rPr>
                <w:b w:val="0"/>
                <w:sz w:val="22"/>
              </w:rPr>
              <w:t>M1.3</w:t>
            </w:r>
          </w:p>
        </w:tc>
        <w:tc>
          <w:tcPr>
            <w:tcW w:type="dxa" w:w="5216"/>
            <w:shd w:val="clear" w:color="auto" w:fill="E8EEF7"/>
          </w:tcPr>
          <w:p>
            <w:r/>
            <w:r>
              <w:rPr>
                <w:b w:val="0"/>
                <w:sz w:val="22"/>
              </w:rPr>
              <w:t>Manager et animer une équipe</w:t>
            </w:r>
          </w:p>
        </w:tc>
        <w:tc>
          <w:tcPr>
            <w:tcW w:type="dxa" w:w="2154"/>
            <w:shd w:val="clear" w:color="auto" w:fill="E8EEF7"/>
          </w:tcPr>
          <w:p>
            <w:r/>
            <w:r>
              <w:rPr>
                <w:b w:val="0"/>
                <w:sz w:val="22"/>
              </w:rPr>
              <w:t>CCP1 — CP3</w:t>
            </w:r>
          </w:p>
        </w:tc>
        <w:tc>
          <w:tcPr>
            <w:tcW w:type="dxa" w:w="1247"/>
            <w:shd w:val="clear" w:color="auto" w:fill="E8EEF7"/>
          </w:tcPr>
          <w:p>
            <w:r/>
            <w:r>
              <w:rPr>
                <w:b w:val="0"/>
                <w:sz w:val="22"/>
              </w:rPr>
              <w:t>70</w:t>
            </w:r>
          </w:p>
        </w:tc>
      </w:tr>
      <w:tr>
        <w:trPr>
          <w:cantSplit w:val="true"/>
        </w:trPr>
        <w:tc>
          <w:tcPr>
            <w:tcW w:type="dxa" w:w="1020"/>
          </w:tcPr>
          <w:p>
            <w:r/>
            <w:r>
              <w:rPr>
                <w:b w:val="0"/>
                <w:sz w:val="22"/>
              </w:rPr>
              <w:t>T4</w:t>
            </w:r>
          </w:p>
        </w:tc>
        <w:tc>
          <w:tcPr>
            <w:tcW w:type="dxa" w:w="5216"/>
          </w:tcPr>
          <w:p>
            <w:r/>
            <w:r>
              <w:rPr>
                <w:b w:val="0"/>
                <w:sz w:val="22"/>
              </w:rPr>
              <w:t>Préparer la période en entreprise</w:t>
            </w:r>
          </w:p>
        </w:tc>
        <w:tc>
          <w:tcPr>
            <w:tcW w:type="dxa" w:w="2154"/>
          </w:tcPr>
          <w:p>
            <w:r/>
            <w:r>
              <w:rPr>
                <w:b w:val="0"/>
                <w:sz w:val="22"/>
              </w:rPr>
              <w:t>Transversal</w:t>
            </w:r>
          </w:p>
        </w:tc>
        <w:tc>
          <w:tcPr>
            <w:tcW w:type="dxa" w:w="1247"/>
          </w:tcPr>
          <w:p>
            <w:r/>
            <w:r>
              <w:rPr>
                <w:b w:val="0"/>
                <w:sz w:val="22"/>
              </w:rPr>
              <w:t>14</w:t>
            </w:r>
          </w:p>
        </w:tc>
      </w:tr>
      <w:tr>
        <w:trPr>
          <w:cantSplit w:val="true"/>
        </w:trPr>
        <w:tc>
          <w:tcPr>
            <w:tcW w:type="dxa" w:w="1020"/>
            <w:shd w:val="clear" w:color="auto" w:fill="E8EEF7"/>
          </w:tcPr>
          <w:p>
            <w:r/>
            <w:r>
              <w:rPr>
                <w:b w:val="0"/>
                <w:sz w:val="22"/>
              </w:rPr>
              <w:t>M2.1</w:t>
            </w:r>
          </w:p>
        </w:tc>
        <w:tc>
          <w:tcPr>
            <w:tcW w:type="dxa" w:w="5216"/>
            <w:shd w:val="clear" w:color="auto" w:fill="E8EEF7"/>
          </w:tcPr>
          <w:p>
            <w:r/>
            <w:r>
              <w:rPr>
                <w:b w:val="0"/>
                <w:sz w:val="22"/>
              </w:rPr>
              <w:t>Adapter l'offre de la structure à la demande</w:t>
            </w:r>
          </w:p>
        </w:tc>
        <w:tc>
          <w:tcPr>
            <w:tcW w:type="dxa" w:w="2154"/>
            <w:shd w:val="clear" w:color="auto" w:fill="E8EEF7"/>
          </w:tcPr>
          <w:p>
            <w:r/>
            <w:r>
              <w:rPr>
                <w:b w:val="0"/>
                <w:sz w:val="22"/>
              </w:rPr>
              <w:t>CCP2 — CP4</w:t>
            </w:r>
          </w:p>
        </w:tc>
        <w:tc>
          <w:tcPr>
            <w:tcW w:type="dxa" w:w="1247"/>
            <w:shd w:val="clear" w:color="auto" w:fill="E8EEF7"/>
          </w:tcPr>
          <w:p>
            <w:r/>
            <w:r>
              <w:rPr>
                <w:b w:val="0"/>
                <w:sz w:val="22"/>
              </w:rPr>
              <w:t>63</w:t>
            </w:r>
          </w:p>
        </w:tc>
      </w:tr>
      <w:tr>
        <w:trPr>
          <w:cantSplit w:val="true"/>
        </w:trPr>
        <w:tc>
          <w:tcPr>
            <w:tcW w:type="dxa" w:w="1020"/>
          </w:tcPr>
          <w:p>
            <w:r/>
            <w:r>
              <w:rPr>
                <w:b w:val="0"/>
                <w:sz w:val="22"/>
              </w:rPr>
              <w:t>M2.2</w:t>
            </w:r>
          </w:p>
        </w:tc>
        <w:tc>
          <w:tcPr>
            <w:tcW w:type="dxa" w:w="5216"/>
          </w:tcPr>
          <w:p>
            <w:r/>
            <w:r>
              <w:rPr>
                <w:b w:val="0"/>
                <w:sz w:val="22"/>
              </w:rPr>
              <w:t>Organiser et développer la diffusion de l'offre</w:t>
            </w:r>
          </w:p>
        </w:tc>
        <w:tc>
          <w:tcPr>
            <w:tcW w:type="dxa" w:w="2154"/>
          </w:tcPr>
          <w:p>
            <w:r/>
            <w:r>
              <w:rPr>
                <w:b w:val="0"/>
                <w:sz w:val="22"/>
              </w:rPr>
              <w:t>CCP2 — CP5</w:t>
            </w:r>
          </w:p>
        </w:tc>
        <w:tc>
          <w:tcPr>
            <w:tcW w:type="dxa" w:w="1247"/>
          </w:tcPr>
          <w:p>
            <w:r/>
            <w:r>
              <w:rPr>
                <w:b w:val="0"/>
                <w:sz w:val="22"/>
              </w:rPr>
              <w:t>56</w:t>
            </w:r>
          </w:p>
        </w:tc>
      </w:tr>
      <w:tr>
        <w:trPr>
          <w:cantSplit w:val="true"/>
        </w:trPr>
        <w:tc>
          <w:tcPr>
            <w:tcW w:type="dxa" w:w="1020"/>
            <w:shd w:val="clear" w:color="auto" w:fill="E8EEF7"/>
          </w:tcPr>
          <w:p>
            <w:r/>
            <w:r>
              <w:rPr>
                <w:b w:val="0"/>
                <w:sz w:val="22"/>
              </w:rPr>
              <w:t>T2</w:t>
            </w:r>
          </w:p>
        </w:tc>
        <w:tc>
          <w:tcPr>
            <w:tcW w:type="dxa" w:w="5216"/>
            <w:shd w:val="clear" w:color="auto" w:fill="E8EEF7"/>
          </w:tcPr>
          <w:p>
            <w:r/>
            <w:r>
              <w:rPr>
                <w:b w:val="0"/>
                <w:sz w:val="22"/>
              </w:rPr>
              <w:t>Anglais professionnel de base</w:t>
            </w:r>
          </w:p>
        </w:tc>
        <w:tc>
          <w:tcPr>
            <w:tcW w:type="dxa" w:w="2154"/>
            <w:shd w:val="clear" w:color="auto" w:fill="E8EEF7"/>
          </w:tcPr>
          <w:p>
            <w:r/>
            <w:r>
              <w:rPr>
                <w:b w:val="0"/>
                <w:sz w:val="22"/>
              </w:rPr>
              <w:t>Transversal — Fiche RNCP</w:t>
            </w:r>
          </w:p>
        </w:tc>
        <w:tc>
          <w:tcPr>
            <w:tcW w:type="dxa" w:w="1247"/>
            <w:shd w:val="clear" w:color="auto" w:fill="E8EEF7"/>
          </w:tcPr>
          <w:p>
            <w:r/>
            <w:r>
              <w:rPr>
                <w:b w:val="0"/>
                <w:sz w:val="22"/>
              </w:rPr>
              <w:t>14</w:t>
            </w:r>
          </w:p>
        </w:tc>
      </w:tr>
      <w:tr>
        <w:trPr>
          <w:cantSplit w:val="true"/>
        </w:trPr>
        <w:tc>
          <w:tcPr>
            <w:tcW w:type="dxa" w:w="1020"/>
          </w:tcPr>
          <w:p>
            <w:r/>
            <w:r>
              <w:rPr>
                <w:b w:val="0"/>
                <w:sz w:val="22"/>
              </w:rPr>
              <w:t>T6</w:t>
            </w:r>
          </w:p>
        </w:tc>
        <w:tc>
          <w:tcPr>
            <w:tcW w:type="dxa" w:w="5216"/>
          </w:tcPr>
          <w:p>
            <w:r/>
            <w:r>
              <w:rPr>
                <w:b w:val="0"/>
                <w:sz w:val="22"/>
              </w:rPr>
              <w:t>Bilan individuel de mi-parcours</w:t>
            </w:r>
          </w:p>
        </w:tc>
        <w:tc>
          <w:tcPr>
            <w:tcW w:type="dxa" w:w="2154"/>
          </w:tcPr>
          <w:p>
            <w:r/>
            <w:r>
              <w:rPr>
                <w:b w:val="0"/>
                <w:sz w:val="22"/>
              </w:rPr>
              <w:t>Transversal</w:t>
            </w:r>
          </w:p>
        </w:tc>
        <w:tc>
          <w:tcPr>
            <w:tcW w:type="dxa" w:w="1247"/>
          </w:tcPr>
          <w:p>
            <w:r/>
            <w:r>
              <w:rPr>
                <w:b w:val="0"/>
                <w:sz w:val="22"/>
              </w:rPr>
              <w:t>7</w:t>
            </w:r>
          </w:p>
        </w:tc>
      </w:tr>
      <w:tr>
        <w:trPr>
          <w:cantSplit w:val="true"/>
        </w:trPr>
        <w:tc>
          <w:tcPr>
            <w:tcW w:type="dxa" w:w="1020"/>
            <w:shd w:val="clear" w:color="auto" w:fill="E8EEF7"/>
          </w:tcPr>
          <w:p>
            <w:r/>
            <w:r>
              <w:rPr>
                <w:b w:val="0"/>
                <w:sz w:val="22"/>
              </w:rPr>
              <w:t>M2.3</w:t>
            </w:r>
          </w:p>
        </w:tc>
        <w:tc>
          <w:tcPr>
            <w:tcW w:type="dxa" w:w="5216"/>
            <w:shd w:val="clear" w:color="auto" w:fill="E8EEF7"/>
          </w:tcPr>
          <w:p>
            <w:r/>
            <w:r>
              <w:rPr>
                <w:b w:val="0"/>
                <w:sz w:val="22"/>
              </w:rPr>
              <w:t>Organiser la production</w:t>
            </w:r>
          </w:p>
        </w:tc>
        <w:tc>
          <w:tcPr>
            <w:tcW w:type="dxa" w:w="2154"/>
            <w:shd w:val="clear" w:color="auto" w:fill="E8EEF7"/>
          </w:tcPr>
          <w:p>
            <w:r/>
            <w:r>
              <w:rPr>
                <w:b w:val="0"/>
                <w:sz w:val="22"/>
              </w:rPr>
              <w:t>CCP2 — CP6</w:t>
            </w:r>
          </w:p>
        </w:tc>
        <w:tc>
          <w:tcPr>
            <w:tcW w:type="dxa" w:w="1247"/>
            <w:shd w:val="clear" w:color="auto" w:fill="E8EEF7"/>
          </w:tcPr>
          <w:p>
            <w:r/>
            <w:r>
              <w:rPr>
                <w:b w:val="0"/>
                <w:sz w:val="22"/>
              </w:rPr>
              <w:t>56</w:t>
            </w:r>
          </w:p>
        </w:tc>
      </w:tr>
      <w:tr>
        <w:trPr>
          <w:cantSplit w:val="true"/>
        </w:trPr>
        <w:tc>
          <w:tcPr>
            <w:tcW w:type="dxa" w:w="1020"/>
          </w:tcPr>
          <w:p>
            <w:r/>
            <w:r>
              <w:rPr>
                <w:b w:val="0"/>
                <w:sz w:val="22"/>
              </w:rPr>
              <w:t>T1</w:t>
            </w:r>
          </w:p>
        </w:tc>
        <w:tc>
          <w:tcPr>
            <w:tcW w:type="dxa" w:w="5216"/>
          </w:tcPr>
          <w:p>
            <w:r/>
            <w:r>
              <w:rPr>
                <w:b w:val="0"/>
                <w:sz w:val="22"/>
              </w:rPr>
              <w:t>IA, données et gouvernance du dirigeant</w:t>
            </w:r>
          </w:p>
        </w:tc>
        <w:tc>
          <w:tcPr>
            <w:tcW w:type="dxa" w:w="2154"/>
          </w:tcPr>
          <w:p>
            <w:r/>
            <w:r>
              <w:rPr>
                <w:b w:val="0"/>
                <w:sz w:val="22"/>
              </w:rPr>
              <w:t>Transversal — Fiche RNCP</w:t>
            </w:r>
          </w:p>
        </w:tc>
        <w:tc>
          <w:tcPr>
            <w:tcW w:type="dxa" w:w="1247"/>
          </w:tcPr>
          <w:p>
            <w:r/>
            <w:r>
              <w:rPr>
                <w:b w:val="0"/>
                <w:sz w:val="22"/>
              </w:rPr>
              <w:t>42</w:t>
            </w:r>
          </w:p>
        </w:tc>
      </w:tr>
      <w:tr>
        <w:trPr>
          <w:cantSplit w:val="true"/>
        </w:trPr>
        <w:tc>
          <w:tcPr>
            <w:tcW w:type="dxa" w:w="1020"/>
            <w:shd w:val="clear" w:color="auto" w:fill="E8EEF7"/>
          </w:tcPr>
          <w:p>
            <w:r/>
            <w:r>
              <w:rPr>
                <w:b w:val="0"/>
                <w:sz w:val="22"/>
              </w:rPr>
              <w:t>M3.1</w:t>
            </w:r>
          </w:p>
        </w:tc>
        <w:tc>
          <w:tcPr>
            <w:tcW w:type="dxa" w:w="5216"/>
            <w:shd w:val="clear" w:color="auto" w:fill="E8EEF7"/>
          </w:tcPr>
          <w:p>
            <w:r/>
            <w:r>
              <w:rPr>
                <w:b w:val="0"/>
                <w:sz w:val="22"/>
              </w:rPr>
              <w:t>Analyser le bilan de la structure</w:t>
            </w:r>
          </w:p>
        </w:tc>
        <w:tc>
          <w:tcPr>
            <w:tcW w:type="dxa" w:w="2154"/>
            <w:shd w:val="clear" w:color="auto" w:fill="E8EEF7"/>
          </w:tcPr>
          <w:p>
            <w:r/>
            <w:r>
              <w:rPr>
                <w:b w:val="0"/>
                <w:sz w:val="22"/>
              </w:rPr>
              <w:t>CCP3 — CP7</w:t>
            </w:r>
          </w:p>
        </w:tc>
        <w:tc>
          <w:tcPr>
            <w:tcW w:type="dxa" w:w="1247"/>
            <w:shd w:val="clear" w:color="auto" w:fill="E8EEF7"/>
          </w:tcPr>
          <w:p>
            <w:r/>
            <w:r>
              <w:rPr>
                <w:b w:val="0"/>
                <w:sz w:val="22"/>
              </w:rPr>
              <w:t>49</w:t>
            </w:r>
          </w:p>
        </w:tc>
      </w:tr>
      <w:tr>
        <w:trPr>
          <w:cantSplit w:val="true"/>
        </w:trPr>
        <w:tc>
          <w:tcPr>
            <w:tcW w:type="dxa" w:w="1020"/>
          </w:tcPr>
          <w:p>
            <w:r/>
            <w:r>
              <w:rPr>
                <w:b w:val="0"/>
                <w:sz w:val="22"/>
              </w:rPr>
              <w:t>M3.2</w:t>
            </w:r>
          </w:p>
        </w:tc>
        <w:tc>
          <w:tcPr>
            <w:tcW w:type="dxa" w:w="5216"/>
          </w:tcPr>
          <w:p>
            <w:r/>
            <w:r>
              <w:rPr>
                <w:b w:val="0"/>
                <w:sz w:val="22"/>
              </w:rPr>
              <w:t>Analyser le compte de résultat de la structure</w:t>
            </w:r>
          </w:p>
        </w:tc>
        <w:tc>
          <w:tcPr>
            <w:tcW w:type="dxa" w:w="2154"/>
          </w:tcPr>
          <w:p>
            <w:r/>
            <w:r>
              <w:rPr>
                <w:b w:val="0"/>
                <w:sz w:val="22"/>
              </w:rPr>
              <w:t>CCP3 — CP8</w:t>
            </w:r>
          </w:p>
        </w:tc>
        <w:tc>
          <w:tcPr>
            <w:tcW w:type="dxa" w:w="1247"/>
          </w:tcPr>
          <w:p>
            <w:r/>
            <w:r>
              <w:rPr>
                <w:b w:val="0"/>
                <w:sz w:val="22"/>
              </w:rPr>
              <w:t>49</w:t>
            </w:r>
          </w:p>
        </w:tc>
      </w:tr>
      <w:tr>
        <w:trPr>
          <w:cantSplit w:val="true"/>
        </w:trPr>
        <w:tc>
          <w:tcPr>
            <w:tcW w:type="dxa" w:w="1020"/>
            <w:shd w:val="clear" w:color="auto" w:fill="E8EEF7"/>
          </w:tcPr>
          <w:p>
            <w:r/>
            <w:r>
              <w:rPr>
                <w:b w:val="0"/>
                <w:sz w:val="22"/>
              </w:rPr>
              <w:t>M3.3</w:t>
            </w:r>
          </w:p>
        </w:tc>
        <w:tc>
          <w:tcPr>
            <w:tcW w:type="dxa" w:w="5216"/>
            <w:shd w:val="clear" w:color="auto" w:fill="E8EEF7"/>
          </w:tcPr>
          <w:p>
            <w:r/>
            <w:r>
              <w:rPr>
                <w:b w:val="0"/>
                <w:sz w:val="22"/>
              </w:rPr>
              <w:t>Rédiger le rapport d'activité de la structure</w:t>
            </w:r>
          </w:p>
        </w:tc>
        <w:tc>
          <w:tcPr>
            <w:tcW w:type="dxa" w:w="2154"/>
            <w:shd w:val="clear" w:color="auto" w:fill="E8EEF7"/>
          </w:tcPr>
          <w:p>
            <w:r/>
            <w:r>
              <w:rPr>
                <w:b w:val="0"/>
                <w:sz w:val="22"/>
              </w:rPr>
              <w:t>CCP3 — CP9</w:t>
            </w:r>
          </w:p>
        </w:tc>
        <w:tc>
          <w:tcPr>
            <w:tcW w:type="dxa" w:w="1247"/>
            <w:shd w:val="clear" w:color="auto" w:fill="E8EEF7"/>
          </w:tcPr>
          <w:p>
            <w:r/>
            <w:r>
              <w:rPr>
                <w:b w:val="0"/>
                <w:sz w:val="22"/>
              </w:rPr>
              <w:t>42</w:t>
            </w:r>
          </w:p>
        </w:tc>
      </w:tr>
      <w:tr>
        <w:trPr>
          <w:cantSplit w:val="true"/>
        </w:trPr>
        <w:tc>
          <w:tcPr>
            <w:tcW w:type="dxa" w:w="1020"/>
          </w:tcPr>
          <w:p>
            <w:r/>
            <w:r>
              <w:rPr>
                <w:b w:val="0"/>
                <w:sz w:val="22"/>
              </w:rPr>
              <w:t>T3</w:t>
            </w:r>
          </w:p>
        </w:tc>
        <w:tc>
          <w:tcPr>
            <w:tcW w:type="dxa" w:w="5216"/>
          </w:tcPr>
          <w:p>
            <w:r/>
            <w:r>
              <w:rPr>
                <w:b w:val="0"/>
                <w:sz w:val="22"/>
              </w:rPr>
              <w:t>Dossier de projet, dossier professionnel et diaporama</w:t>
            </w:r>
          </w:p>
        </w:tc>
        <w:tc>
          <w:tcPr>
            <w:tcW w:type="dxa" w:w="2154"/>
          </w:tcPr>
          <w:p>
            <w:r/>
            <w:r>
              <w:rPr>
                <w:b w:val="0"/>
                <w:sz w:val="22"/>
              </w:rPr>
              <w:t>Transversal — Épreuves</w:t>
            </w:r>
          </w:p>
        </w:tc>
        <w:tc>
          <w:tcPr>
            <w:tcW w:type="dxa" w:w="1247"/>
          </w:tcPr>
          <w:p>
            <w:r/>
            <w:r>
              <w:rPr>
                <w:b w:val="0"/>
                <w:sz w:val="22"/>
              </w:rPr>
              <w:t>21</w:t>
            </w:r>
          </w:p>
        </w:tc>
      </w:tr>
      <w:tr>
        <w:trPr>
          <w:cantSplit w:val="true"/>
        </w:trPr>
        <w:tc>
          <w:tcPr>
            <w:tcW w:type="dxa" w:w="1020"/>
            <w:shd w:val="clear" w:color="auto" w:fill="E8EEF7"/>
          </w:tcPr>
          <w:p>
            <w:r/>
            <w:r>
              <w:rPr>
                <w:b w:val="0"/>
                <w:sz w:val="22"/>
              </w:rPr>
              <w:t>T5</w:t>
            </w:r>
          </w:p>
        </w:tc>
        <w:tc>
          <w:tcPr>
            <w:tcW w:type="dxa" w:w="5216"/>
            <w:shd w:val="clear" w:color="auto" w:fill="E8EEF7"/>
          </w:tcPr>
          <w:p>
            <w:r/>
            <w:r>
              <w:rPr>
                <w:b w:val="0"/>
                <w:sz w:val="22"/>
              </w:rPr>
              <w:t>Entraînement à l'épreuve du titre</w:t>
            </w:r>
          </w:p>
        </w:tc>
        <w:tc>
          <w:tcPr>
            <w:tcW w:type="dxa" w:w="2154"/>
            <w:shd w:val="clear" w:color="auto" w:fill="E8EEF7"/>
          </w:tcPr>
          <w:p>
            <w:r/>
            <w:r>
              <w:rPr>
                <w:b w:val="0"/>
                <w:sz w:val="22"/>
              </w:rPr>
              <w:t>Transversal — Épreuves</w:t>
            </w:r>
          </w:p>
        </w:tc>
        <w:tc>
          <w:tcPr>
            <w:tcW w:type="dxa" w:w="1247"/>
            <w:shd w:val="clear" w:color="auto" w:fill="E8EEF7"/>
          </w:tcPr>
          <w:p>
            <w:r/>
            <w:r>
              <w:rPr>
                <w:b w:val="0"/>
                <w:sz w:val="22"/>
              </w:rPr>
              <w:t>14</w:t>
            </w:r>
          </w:p>
        </w:tc>
      </w:tr>
      <w:tr>
        <w:trPr>
          <w:cantSplit w:val="true"/>
        </w:trPr>
        <w:tc>
          <w:tcPr>
            <w:tcW w:type="dxa" w:w="1020"/>
          </w:tcPr>
          <w:p>
            <w:r/>
          </w:p>
        </w:tc>
        <w:tc>
          <w:tcPr>
            <w:tcW w:type="dxa" w:w="5216"/>
          </w:tcPr>
          <w:p>
            <w:r/>
            <w:r>
              <w:rPr>
                <w:b/>
                <w:sz w:val="22"/>
              </w:rPr>
              <w:t>Total en centre</w:t>
            </w:r>
          </w:p>
        </w:tc>
        <w:tc>
          <w:tcPr>
            <w:tcW w:type="dxa" w:w="2154"/>
          </w:tcPr>
          <w:p>
            <w:r/>
          </w:p>
        </w:tc>
        <w:tc>
          <w:tcPr>
            <w:tcW w:type="dxa" w:w="1247"/>
          </w:tcPr>
          <w:p>
            <w:r/>
            <w:r>
              <w:rPr>
                <w:b/>
                <w:sz w:val="22"/>
              </w:rPr>
              <w:t>595</w:t>
            </w:r>
          </w:p>
        </w:tc>
      </w:tr>
      <w:tr>
        <w:trPr>
          <w:cantSplit w:val="true"/>
        </w:trPr>
        <w:tc>
          <w:tcPr>
            <w:tcW w:type="dxa" w:w="1020"/>
            <w:shd w:val="clear" w:color="auto" w:fill="E8EEF7"/>
          </w:tcPr>
          <w:p>
            <w:r/>
            <w:r>
              <w:rPr>
                <w:b w:val="0"/>
                <w:sz w:val="22"/>
              </w:rPr>
              <w:t>PAE</w:t>
            </w:r>
          </w:p>
        </w:tc>
        <w:tc>
          <w:tcPr>
            <w:tcW w:type="dxa" w:w="5216"/>
            <w:shd w:val="clear" w:color="auto" w:fill="E8EEF7"/>
          </w:tcPr>
          <w:p>
            <w:r/>
            <w:r>
              <w:rPr>
                <w:b w:val="0"/>
                <w:sz w:val="22"/>
              </w:rPr>
              <w:t>Période en entreprise</w:t>
            </w:r>
          </w:p>
        </w:tc>
        <w:tc>
          <w:tcPr>
            <w:tcW w:type="dxa" w:w="2154"/>
            <w:shd w:val="clear" w:color="auto" w:fill="E8EEF7"/>
          </w:tcPr>
          <w:p>
            <w:r/>
            <w:r>
              <w:rPr>
                <w:b w:val="0"/>
                <w:sz w:val="22"/>
              </w:rPr>
              <w:t>Tous les blocs</w:t>
            </w:r>
          </w:p>
        </w:tc>
        <w:tc>
          <w:tcPr>
            <w:tcW w:type="dxa" w:w="1247"/>
            <w:shd w:val="clear" w:color="auto" w:fill="E8EEF7"/>
          </w:tcPr>
          <w:p>
            <w:r/>
            <w:r>
              <w:rPr>
                <w:b w:val="0"/>
                <w:sz w:val="22"/>
              </w:rPr>
              <w:t>210</w:t>
            </w:r>
          </w:p>
        </w:tc>
      </w:tr>
    </w:tbl>
    <w:p/>
    <w:p>
      <w:pPr>
        <w:pStyle w:val="Heading1"/>
      </w:pPr>
      <w:r>
        <w:t>6. Méthodes et moyens pédagogiques</w:t>
      </w:r>
    </w:p>
    <w:p>
      <w:pPr>
        <w:pStyle w:val="ListBullet"/>
      </w:pPr>
      <w:r>
        <w:rPr>
          <w:b w:val="0"/>
        </w:rPr>
        <w:t>Pédagogie active : études de cas réunionnais, jeux de rôle, simulations, ateliers, travail en sous-groupes.</w:t>
      </w:r>
    </w:p>
    <w:p>
      <w:pPr>
        <w:pStyle w:val="ListBullet"/>
      </w:pPr>
      <w:r>
        <w:rPr>
          <w:b w:val="0"/>
        </w:rPr>
        <w:t>Alternance entre le centre et l'entreprise ; les productions d'examen sont construites à partir de la période en entreprise.</w:t>
      </w:r>
    </w:p>
    <w:p>
      <w:pPr>
        <w:pStyle w:val="ListBullet"/>
      </w:pPr>
      <w:r>
        <w:rPr>
          <w:b w:val="0"/>
        </w:rPr>
        <w:t>Supports projetés en gros caractères et contrastés, transmis en version numérique accessible.</w:t>
      </w:r>
    </w:p>
    <w:p>
      <w:pPr>
        <w:pStyle w:val="ListBullet"/>
      </w:pPr>
      <w:r>
        <w:rPr>
          <w:b w:val="0"/>
        </w:rPr>
        <w:t xml:space="preserve">Salle de formation équipée au Secrétariat Center </w:t>
      </w:r>
      <w:r>
        <w:rPr>
          <w:b/>
          <w:i/>
          <w:color w:val="8A6D1F"/>
        </w:rPr>
        <w:t>[À COMPLÉTER : vidéoprojecteur, connexion, postes ou ordinateurs portables]</w:t>
      </w:r>
      <w:r>
        <w:rPr>
          <w:b w:val="0"/>
        </w:rPr>
        <w:t>.</w:t>
      </w:r>
    </w:p>
    <w:p>
      <w:pPr>
        <w:pStyle w:val="ListBullet"/>
      </w:pPr>
      <w:r>
        <w:rPr>
          <w:b w:val="0"/>
        </w:rPr>
        <w:t>Formateurs : professionnels du management, du commerce et de la gestion (CV et justificatifs tenus à disposition).</w:t>
      </w:r>
    </w:p>
    <w:p>
      <w:pPr>
        <w:pStyle w:val="Heading1"/>
      </w:pPr>
      <w:r>
        <w:t>7. Évaluation et validation</w:t>
      </w:r>
    </w:p>
    <w:p>
      <w:pPr>
        <w:pStyle w:val="ListBullet"/>
      </w:pPr>
      <w:r>
        <w:rPr>
          <w:b w:val="0"/>
        </w:rPr>
        <w:t>Positionnement à l'entrée, évaluations en cours de formation (prises en compte par le jury selon le référentiel d'évaluation), épreuves blanches.</w:t>
      </w:r>
    </w:p>
    <w:p>
      <w:pPr>
        <w:pStyle w:val="ListBullet"/>
      </w:pPr>
      <w:r>
        <w:rPr>
          <w:b w:val="0"/>
        </w:rPr>
        <w:t>Session de validation : 1 h 35 par candidat : présentation d'un projet réalisé en amont 45 min, entretien technique 30 min, entretien final 20 min.</w:t>
      </w:r>
    </w:p>
    <w:p>
      <w:pPr>
        <w:pStyle w:val="ListBullet"/>
      </w:pPr>
      <w:r>
        <w:rPr>
          <w:b w:val="0"/>
        </w:rPr>
        <w:t>Le jury s'appuie aussi sur le dossier professionnel et sur l'entretien final.</w:t>
      </w:r>
    </w:p>
    <w:p>
      <w:pPr>
        <w:pStyle w:val="ListBullet"/>
      </w:pPr>
      <w:r>
        <w:rPr>
          <w:b w:val="0"/>
        </w:rPr>
        <w:t>Validation totale (titre) ou partielle (un ou plusieurs CCP, capitalisables).</w:t>
      </w:r>
    </w:p>
    <w:p>
      <w:pPr>
        <w:pStyle w:val="ListBullet"/>
      </w:pPr>
      <w:r>
        <w:rPr>
          <w:b w:val="0"/>
        </w:rPr>
        <w:t>Remise d'une attestation de fin de formation et d'un certificat de réalisation.</w:t>
      </w:r>
    </w:p>
    <w:p>
      <w:pPr>
        <w:pStyle w:val="Heading1"/>
      </w:pPr>
      <w:r>
        <w:t>8. Financements possibles</w:t>
      </w:r>
    </w:p>
    <w:p>
      <w:pPr>
        <w:pStyle w:val="ListBullet"/>
      </w:pPr>
      <w:r>
        <w:rPr>
          <w:b w:val="0"/>
        </w:rPr>
        <w:t>Compte personnel de formation (CPF)</w:t>
      </w:r>
    </w:p>
    <w:p>
      <w:pPr>
        <w:pStyle w:val="ListBullet"/>
      </w:pPr>
      <w:r>
        <w:rPr>
          <w:b w:val="0"/>
        </w:rPr>
        <w:t>France Travail : AIF, action de formation conventionnée, POEI ou POEC</w:t>
      </w:r>
    </w:p>
    <w:p>
      <w:pPr>
        <w:pStyle w:val="ListBullet"/>
      </w:pPr>
      <w:r>
        <w:rPr>
          <w:b w:val="0"/>
        </w:rPr>
        <w:t xml:space="preserve">Région Réunion : programme régional de formation </w:t>
      </w:r>
      <w:r>
        <w:rPr>
          <w:b/>
          <w:i/>
          <w:color w:val="8A6D1F"/>
        </w:rPr>
        <w:t>[À VÉRIFIER : dispositif ouvert]</w:t>
      </w:r>
    </w:p>
    <w:p>
      <w:pPr>
        <w:pStyle w:val="ListBullet"/>
      </w:pPr>
      <w:r>
        <w:rPr>
          <w:b w:val="0"/>
        </w:rPr>
        <w:t>OPCO de l'employeur : plan de développement des compétences, Pro-A, contrat de professionnalisation</w:t>
      </w:r>
    </w:p>
    <w:p>
      <w:pPr>
        <w:pStyle w:val="ListBullet"/>
      </w:pPr>
      <w:r>
        <w:rPr>
          <w:b w:val="0"/>
        </w:rPr>
        <w:t>Transitions Pro Réunion : projet de transition professionnelle</w:t>
      </w:r>
    </w:p>
    <w:p>
      <w:pPr>
        <w:pStyle w:val="ListBullet"/>
      </w:pPr>
      <w:r>
        <w:rPr>
          <w:b w:val="0"/>
        </w:rPr>
        <w:t>Agefiph : aides complémentaires</w:t>
      </w:r>
    </w:p>
    <w:p>
      <w:r>
        <w:rPr>
          <w:b w:val="0"/>
        </w:rPr>
        <w:t xml:space="preserve">Tarif : </w:t>
      </w:r>
      <w:r>
        <w:rPr>
          <w:b/>
          <w:i/>
          <w:color w:val="8A6D1F"/>
        </w:rPr>
        <w:t>[À COMPLÉTER : prix du parcours complet, prix par CCP, coût horaire]</w:t>
      </w:r>
      <w:r>
        <w:rPr>
          <w:b w:val="0"/>
        </w:rPr>
        <w:t xml:space="preserve">. TVA : </w:t>
      </w:r>
      <w:r>
        <w:rPr>
          <w:b/>
          <w:i/>
          <w:color w:val="8A6D1F"/>
        </w:rPr>
        <w:t>[À VÉRIFIER : exonération formation professionnelle]</w:t>
      </w:r>
      <w:r>
        <w:rPr>
          <w:b w:val="0"/>
        </w:rPr>
        <w:t>.</w:t>
      </w:r>
    </w:p>
    <w:p>
      <w:pPr>
        <w:pStyle w:val="Heading1"/>
      </w:pPr>
      <w:r>
        <w:t>9. Accessibilité et handicap</w:t>
      </w:r>
    </w:p>
    <w:p>
      <w:r>
        <w:rPr>
          <w:b w:val="0"/>
        </w:rPr>
        <w:t xml:space="preserve">Référent handicap : Aurélien LUMEKA, référent handicap certifié — </w:t>
      </w:r>
      <w:r>
        <w:rPr>
          <w:b/>
          <w:i/>
          <w:color w:val="8A6D1F"/>
        </w:rPr>
        <w:t>[À COMPLÉTER : téléphone]</w:t>
      </w:r>
      <w:r>
        <w:rPr>
          <w:b w:val="0"/>
        </w:rPr>
        <w:t>. Un entretien confidentiel est proposé avant l'entrée pour étudier les aménagements de parcours et d'examen, avec l'Agefiph, Cap emploi et la MDPH.</w:t>
      </w:r>
    </w:p>
    <w:p>
      <w:pPr>
        <w:pStyle w:val="Heading1"/>
      </w:pPr>
      <w:r>
        <w:t>10. Débouchés et résultats</w:t>
      </w:r>
    </w:p>
    <w:p>
      <w:r>
        <w:rPr>
          <w:b w:val="0"/>
        </w:rPr>
        <w:t>Emplois visés : Manager, chef, responsable, directeur adjoint, directeur ou délégué d'agence, d'unité, de centre de profit, de site, d'établissement, d'entreprise ou d'association (moins de 50 salariés).</w:t>
      </w:r>
    </w:p>
    <w:p>
      <w:r>
        <w:rPr>
          <w:b w:val="0"/>
        </w:rPr>
        <w:t>Résultats nationaux : Insertion globale à 6 mois : 69 % ; dans le métier visé à 6 mois : 66 % ; à 2 ans : 78 % (440 certifiés en 2022) — fiche RNCP38575</w:t>
      </w:r>
    </w:p>
    <w:p>
      <w:r>
        <w:rPr>
          <w:b w:val="0"/>
        </w:rPr>
        <w:t>Résultats YEBA FORMATIONS (satisfaction, abandon, réussite, insertion à 6 mois) : publiés après la première session.</w:t>
      </w:r>
    </w:p>
    <w:p>
      <w:pPr>
        <w:pStyle w:val="Heading1"/>
      </w:pPr>
      <w:r>
        <w:t>11. Contact</w:t>
      </w:r>
    </w:p>
    <w:p>
      <w:r>
        <w:rPr>
          <w:b w:val="0"/>
        </w:rPr>
        <w:t xml:space="preserve">YEBA FORMATIONS — Aurélien LUMEKA — </w:t>
      </w:r>
      <w:r>
        <w:rPr>
          <w:b/>
          <w:i/>
          <w:color w:val="8A6D1F"/>
        </w:rPr>
        <w:t>[À COMPLÉTER : téléphone]</w:t>
      </w:r>
      <w:r>
        <w:rPr>
          <w:b w:val="0"/>
        </w:rPr>
        <w:t xml:space="preserve"> — </w:t>
      </w:r>
      <w:r>
        <w:rPr>
          <w:b/>
          <w:i/>
          <w:color w:val="8A6D1F"/>
        </w:rPr>
        <w:t>[À COMPLÉTER : e-mail de contact]</w:t>
      </w:r>
    </w:p>
    <w:p>
      <w:r>
        <w:rPr>
          <w:b w:val="0"/>
          <w:i/>
        </w:rPr>
        <w:t>Déclaration d'activité enregistrée sous le n° 04973676397 auprès du préfet de région de La Réunion. Cet enregistrement ne vaut pas agrément de l'État.</w:t>
      </w:r>
    </w:p>
    <w:tbl>
      <w:tblPr>
        <w:tblStyle w:val="TableGrid"/>
        <w:tblW w:type="auto" w:w="0"/>
        <w:tblLayout w:type="fixed"/>
        <w:tblLook w:firstColumn="1" w:firstRow="1" w:lastColumn="0" w:lastRow="0" w:noHBand="0" w:noVBand="1" w:val="04A0"/>
      </w:tblPr>
      <w:tblGrid>
        <w:gridCol w:w="9639"/>
      </w:tblGrid>
      <w:tr>
        <w:tc>
          <w:tcPr>
            <w:tcW w:type="dxa" w:w="9638"/>
            <w:shd w:val="clear" w:color="auto" w:fill="E8EEF7"/>
          </w:tcPr>
          <w:p>
            <w:r/>
            <w:r>
              <w:rPr>
                <w:b/>
                <w:color w:val="1B3A6B"/>
                <w:sz w:val="26"/>
              </w:rPr>
              <w:t>RGPD et IA Act — points de conformité de ce document</w:t>
            </w:r>
          </w:p>
          <w:p>
            <w:r>
              <w:rPr>
                <w:b w:val="0"/>
                <w:sz w:val="22"/>
              </w:rPr>
              <w:t>RGPD : les données collectées à l'inscription servent uniquement à la gestion de la formation et aux obligations envers les financeurs.</w:t>
            </w:r>
          </w:p>
          <w:p>
            <w:r>
              <w:rPr>
                <w:b w:val="0"/>
                <w:sz w:val="22"/>
              </w:rPr>
              <w:t>IA Act : aucune décision d'admission, d'orientation ou d'évaluation n'est prise par un système d'intelligence artificielle.</w:t>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PRG-RPMS   |   YEBA FORMATIONS — SIRET 814 622 262 00032 — Version 2026-10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34228" cy="5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34228"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A6D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de formation</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