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A6B"/>
          <w:sz w:val="44"/>
        </w:rPr>
        <w:t>Plan de prévention du décrochage</w:t>
      </w:r>
    </w:p>
    <w:p>
      <w:r>
        <w:rPr>
          <w:b/>
          <w:color w:val="8A6D1F"/>
          <w:sz w:val="28"/>
        </w:rPr>
        <w:t>Objectif : abaisser drastiquement le taux d'abandon</w:t>
      </w:r>
    </w:p>
    <w:p>
      <w:pPr>
        <w:pBdr>
          <w:bottom w:val="single" w:sz="18" w:space="1" w:color="C9A94D"/>
        </w:pBdr>
      </w:pPr>
    </w:p>
    <w:p>
      <w:pPr>
        <w:pStyle w:val="Heading2"/>
      </w:pPr>
      <w:r>
        <w:t>1. Avant l'entrée : bien recruter</w:t>
      </w:r>
    </w:p>
    <w:p>
      <w:pPr>
        <w:pStyle w:val="ListBullet"/>
      </w:pPr>
      <w:r>
        <w:rPr>
          <w:b w:val="0"/>
        </w:rPr>
        <w:t>Information collective honnête sur le métier (immersion d'une demi-journée en magasin ou PME conseillée)</w:t>
      </w:r>
    </w:p>
    <w:p>
      <w:pPr>
        <w:pStyle w:val="ListBullet"/>
      </w:pPr>
      <w:r>
        <w:rPr>
          <w:b w:val="0"/>
        </w:rPr>
        <w:t>Entretien individuel : repérage des freins (mobilité, garde d'enfants, santé, logement, ressources financières)</w:t>
      </w:r>
    </w:p>
    <w:p>
      <w:pPr>
        <w:pStyle w:val="ListBullet"/>
      </w:pPr>
      <w:r>
        <w:rPr>
          <w:b w:val="0"/>
        </w:rPr>
        <w:t>Vérification du statut et de la rémunération pendant la formation (ARE, rémunération de formation, allocation CEJ) avant l'entrée</w:t>
      </w:r>
    </w:p>
    <w:p>
      <w:pPr>
        <w:pStyle w:val="ListBullet"/>
      </w:pPr>
      <w:r>
        <w:rPr>
          <w:b w:val="0"/>
        </w:rPr>
        <w:t>Contrat d'engagement réciproque signé</w:t>
      </w:r>
    </w:p>
    <w:p>
      <w:pPr>
        <w:pStyle w:val="Heading2"/>
      </w:pPr>
      <w:r>
        <w:t>2. Pendant : détecter tôt et agir vite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1984"/>
        <w:gridCol w:w="4819"/>
      </w:tblGrid>
      <w:tr>
        <w:trPr>
          <w:tblHeader w:val="true"/>
        </w:trPr>
        <w:tc>
          <w:tcPr>
            <w:tcW w:type="dxa" w:w="2835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Signal</w:t>
            </w:r>
          </w:p>
        </w:tc>
        <w:tc>
          <w:tcPr>
            <w:tcW w:type="dxa" w:w="198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Délai de réaction</w:t>
            </w:r>
          </w:p>
        </w:tc>
        <w:tc>
          <w:tcPr>
            <w:tcW w:type="dxa" w:w="4819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Action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b w:val="0"/>
                <w:sz w:val="22"/>
              </w:rPr>
              <w:t>1 absence non prévenue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2"/>
              </w:rPr>
              <w:t>Le jour même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22"/>
              </w:rPr>
              <w:t>Appel ou SMS bienveillant du référent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E8EEF7"/>
          </w:tcPr>
          <w:p>
            <w:r/>
            <w:r>
              <w:rPr>
                <w:b w:val="0"/>
                <w:sz w:val="22"/>
              </w:rPr>
              <w:t>2 absences ou retards répétés</w:t>
            </w:r>
          </w:p>
        </w:tc>
        <w:tc>
          <w:tcPr>
            <w:tcW w:type="dxa" w:w="1984"/>
            <w:shd w:val="clear" w:color="auto" w:fill="E8EEF7"/>
          </w:tcPr>
          <w:p>
            <w:r/>
            <w:r>
              <w:rPr>
                <w:b w:val="0"/>
                <w:sz w:val="22"/>
              </w:rPr>
              <w:t>Sous 48 h</w:t>
            </w:r>
          </w:p>
        </w:tc>
        <w:tc>
          <w:tcPr>
            <w:tcW w:type="dxa" w:w="4819"/>
            <w:shd w:val="clear" w:color="auto" w:fill="E8EEF7"/>
          </w:tcPr>
          <w:p>
            <w:r/>
            <w:r>
              <w:rPr>
                <w:b w:val="0"/>
                <w:sz w:val="22"/>
              </w:rPr>
              <w:t>Entretien individuel + plan d'action écrit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b w:val="0"/>
                <w:sz w:val="22"/>
              </w:rPr>
              <w:t>Baisse de résultats / démotivation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2"/>
              </w:rPr>
              <w:t>Dans la semaine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22"/>
              </w:rPr>
              <w:t>Tutorat, binôme, adaptation du parcours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E8EEF7"/>
          </w:tcPr>
          <w:p>
            <w:r/>
            <w:r>
              <w:rPr>
                <w:b w:val="0"/>
                <w:sz w:val="22"/>
              </w:rPr>
              <w:t>Frein social identifié</w:t>
            </w:r>
          </w:p>
        </w:tc>
        <w:tc>
          <w:tcPr>
            <w:tcW w:type="dxa" w:w="1984"/>
            <w:shd w:val="clear" w:color="auto" w:fill="E8EEF7"/>
          </w:tcPr>
          <w:p>
            <w:r/>
            <w:r>
              <w:rPr>
                <w:b w:val="0"/>
                <w:sz w:val="22"/>
              </w:rPr>
              <w:t>Sous 48 h</w:t>
            </w:r>
          </w:p>
        </w:tc>
        <w:tc>
          <w:tcPr>
            <w:tcW w:type="dxa" w:w="4819"/>
            <w:shd w:val="clear" w:color="auto" w:fill="E8EEF7"/>
          </w:tcPr>
          <w:p>
            <w:r/>
            <w:r>
              <w:rPr>
                <w:b w:val="0"/>
                <w:sz w:val="22"/>
              </w:rPr>
              <w:t>Orientation Mission Locale / France Travail / CAF / Cap emploi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r/>
            <w:r>
              <w:rPr>
                <w:b w:val="0"/>
                <w:sz w:val="22"/>
              </w:rPr>
              <w:t>Intention d'abandon exprimée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2"/>
              </w:rPr>
              <w:t>Immédiat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22"/>
              </w:rPr>
              <w:t>Entretien direction + conseiller prescripteur ; étudier suspension ou validation partielle (CCP)</w:t>
            </w:r>
          </w:p>
        </w:tc>
      </w:tr>
    </w:tbl>
    <w:p/>
    <w:p>
      <w:pPr>
        <w:pStyle w:val="Heading2"/>
      </w:pPr>
      <w:r>
        <w:t>3. Leviers pédagogiques</w:t>
      </w:r>
    </w:p>
    <w:p>
      <w:pPr>
        <w:pStyle w:val="ListBullet"/>
      </w:pPr>
      <w:r>
        <w:rPr>
          <w:b w:val="0"/>
        </w:rPr>
        <w:t>Alternance courte centre / entreprise (4 semaines maximum en entreprise)</w:t>
      </w:r>
    </w:p>
    <w:p>
      <w:pPr>
        <w:pStyle w:val="ListBullet"/>
      </w:pPr>
      <w:r>
        <w:rPr>
          <w:b w:val="0"/>
        </w:rPr>
        <w:t>Pédagogie active et ludique, réussites visibles dès la 1re semaine</w:t>
      </w:r>
    </w:p>
    <w:p>
      <w:pPr>
        <w:pStyle w:val="ListBullet"/>
      </w:pPr>
      <w:r>
        <w:rPr>
          <w:b w:val="0"/>
        </w:rPr>
        <w:t>Validation possible par CCP : personne ne repart « sans rien »</w:t>
      </w:r>
    </w:p>
    <w:p>
      <w:pPr>
        <w:pStyle w:val="ListBullet"/>
      </w:pPr>
      <w:r>
        <w:rPr>
          <w:b w:val="0"/>
        </w:rPr>
        <w:t>Rituel du lundi (objectifs) et du vendredi (réussites de la semaine)</w:t>
      </w:r>
    </w:p>
    <w:p>
      <w:pPr>
        <w:pStyle w:val="ListBullet"/>
      </w:pPr>
      <w:r>
        <w:rPr>
          <w:b w:val="0"/>
        </w:rPr>
        <w:t>Parrainage par d'anciens stagiaires (dès la 2e promotion)</w:t>
      </w:r>
    </w:p>
    <w:p>
      <w:pPr>
        <w:pStyle w:val="Heading2"/>
      </w:pPr>
      <w:r>
        <w:t>4. Indicateurs suivis chaque mois</w:t>
      </w:r>
    </w:p>
    <w:p>
      <w:pPr>
        <w:pStyle w:val="ListBullet"/>
      </w:pPr>
      <w:r>
        <w:rPr>
          <w:b w:val="0"/>
        </w:rPr>
        <w:t>Taux d'assiduité (heures réalisées / prévues)</w:t>
      </w:r>
    </w:p>
    <w:p>
      <w:pPr>
        <w:pStyle w:val="ListBullet"/>
      </w:pPr>
      <w:r>
        <w:rPr>
          <w:b w:val="0"/>
        </w:rPr>
        <w:t>Nombre d'abandons et motifs</w:t>
      </w:r>
    </w:p>
    <w:p>
      <w:pPr>
        <w:pStyle w:val="ListBullet"/>
      </w:pPr>
      <w:r>
        <w:rPr>
          <w:b w:val="0"/>
        </w:rPr>
        <w:t>Délai moyen de réaction après une absence</w:t>
      </w:r>
    </w:p>
    <w:p>
      <w:pPr>
        <w:pStyle w:val="Heading2"/>
      </w:pPr>
      <w:r>
        <w:t>Contrat d'engagement réciproque</w:t>
      </w:r>
    </w:p>
    <w:p>
      <w:r>
        <w:rPr>
          <w:b w:val="0"/>
        </w:rPr>
        <w:t>YEBA FORMATIONS s'engage à : accompagner individuellement, adapter le parcours, informer le prescripteur avec accord du stagiaire. Le stagiaire s'engage à : être présent et ponctuel, prévenir de toute absence, signaler tôt toute difficulté.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4"/>
        <w:gridCol w:w="3214"/>
        <w:gridCol w:w="3214"/>
      </w:tblGrid>
      <w:tr>
        <w:tc>
          <w:tcPr>
            <w:tcW w:type="dxa" w:w="3214"/>
            <w:shd w:val="clear" w:color="auto" w:fill="E8EEF7"/>
          </w:tcPr>
          <w:p>
            <w:r>
              <w:rPr>
                <w:b/>
                <w:color w:val="1B3A6B"/>
                <w:sz w:val="22"/>
              </w:rPr>
              <w:t>Le stagiaire</w:t>
            </w:r>
          </w:p>
        </w:tc>
        <w:tc>
          <w:tcPr>
            <w:tcW w:type="dxa" w:w="3214"/>
            <w:shd w:val="clear" w:color="auto" w:fill="E8EEF7"/>
          </w:tcPr>
          <w:p>
            <w:r>
              <w:rPr>
                <w:b/>
                <w:color w:val="1B3A6B"/>
                <w:sz w:val="22"/>
              </w:rPr>
              <w:t>Pour YEBA FORMATIONS</w:t>
            </w:r>
          </w:p>
        </w:tc>
        <w:tc>
          <w:tcPr>
            <w:tcW w:type="dxa" w:w="3214"/>
            <w:shd w:val="clear" w:color="auto" w:fill="E8EEF7"/>
          </w:tcPr>
          <w:p>
            <w:r>
              <w:rPr>
                <w:b/>
                <w:color w:val="1B3A6B"/>
                <w:sz w:val="22"/>
              </w:rPr>
              <w:t>Prescripteur (facultatif)</w:t>
            </w:r>
          </w:p>
        </w:tc>
      </w:tr>
      <w:tr>
        <w:trPr>
          <w:cantSplit w:val="true"/>
        </w:trPr>
        <w:tc>
          <w:tcPr>
            <w:tcW w:type="dxa" w:w="3214"/>
          </w:tcPr>
          <w:p>
            <w:r>
              <w:rPr>
                <w:b w:val="0"/>
                <w:sz w:val="22"/>
              </w:rPr>
              <w:t>Date :</w:t>
              <w:br/>
              <w:br/>
              <w:t>Signature :</w:t>
              <w:br/>
              <w:br/>
              <w:br/>
            </w:r>
          </w:p>
        </w:tc>
        <w:tc>
          <w:tcPr>
            <w:tcW w:type="dxa" w:w="3214"/>
          </w:tcPr>
          <w:p>
            <w:r>
              <w:rPr>
                <w:b w:val="0"/>
                <w:sz w:val="22"/>
              </w:rPr>
              <w:t>Date :</w:t>
              <w:br/>
              <w:br/>
              <w:t>Signature :</w:t>
              <w:br/>
              <w:br/>
              <w:br/>
            </w:r>
          </w:p>
        </w:tc>
        <w:tc>
          <w:tcPr>
            <w:tcW w:type="dxa" w:w="3214"/>
          </w:tcPr>
          <w:p>
            <w:r>
              <w:rPr>
                <w:b w:val="0"/>
                <w:sz w:val="22"/>
              </w:rPr>
              <w:t>Date :</w:t>
              <w:br/>
              <w:br/>
              <w:t>Signature :</w:t>
              <w:br/>
              <w:br/>
              <w:br/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E8EEF7"/>
          </w:tcPr>
          <w:p>
            <w:r/>
            <w:r>
              <w:rPr>
                <w:b/>
                <w:color w:val="1B3A6B"/>
                <w:sz w:val="26"/>
              </w:rPr>
              <w:t>RGPD et IA Act — points de conformité de ce document</w:t>
            </w:r>
          </w:p>
          <w:p>
            <w:r>
              <w:rPr>
                <w:b w:val="0"/>
                <w:sz w:val="22"/>
              </w:rPr>
              <w:t>Les informations sur les freins sociaux sont limitées au strict nécessaire, partagées avec le prescripteur uniquement avec l'accord du stagiaire.</w:t>
            </w:r>
          </w:p>
          <w:p>
            <w:r>
              <w:rPr>
                <w:b w:val="0"/>
                <w:sz w:val="22"/>
              </w:rPr>
              <w:t>IA Act art. 5 : aucun outil de détection des émotions des stagiaires (pratique interdite dans l'éducation depuis le 2 février 2025). Aucun score de « risque d'abandon » calculé par IA.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1B3A6B"/>
        <w:sz w:val="18"/>
      </w:rPr>
      <w:t xml:space="preserve">ABS-13   |   YEBA FORMATIONS — SIRET 814 622 262 00032 — Version 2026-10   |   Page </w:t>
    </w:r>
    <w:r>
      <w:rPr>
        <w:color w:val="1B3A6B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634228" cy="54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yeba_formation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4228" cy="540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B3A6B"/>
        <w:sz w:val="18"/>
      </w:rPr>
      <w:t xml:space="preserve">     YEBA FORMATIONS   |   NDA 04973676397   |   Qualiopi 25FOR02027.1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A6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3A6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8A6D1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prévention du décrochage</dc:title>
  <dc:subject/>
  <dc:creator>YEBA FORMATIONS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