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Contenu du dossier de chaque stagiaire</w:t>
      </w:r>
    </w:p>
    <w:p>
      <w:r>
        <w:rPr>
          <w:b/>
          <w:color w:val="8A6D1F"/>
          <w:sz w:val="28"/>
        </w:rPr>
        <w:t>Liste de contrôle — preuves pour les financeurs, la DEETS et Qualiopi</w:t>
      </w:r>
    </w:p>
    <w:p>
      <w:pPr>
        <w:pBdr>
          <w:bottom w:val="single" w:sz="18" w:space="1" w:color="C9A94D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6747"/>
        <w:gridCol w:w="1417"/>
      </w:tblGrid>
      <w:tr>
        <w:trPr>
          <w:tblHeader w:val="true"/>
        </w:trPr>
        <w:tc>
          <w:tcPr>
            <w:tcW w:type="dxa" w:w="147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Moment</w:t>
            </w:r>
          </w:p>
        </w:tc>
        <w:tc>
          <w:tcPr>
            <w:tcW w:type="dxa" w:w="674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Pièce</w:t>
            </w:r>
          </w:p>
        </w:tc>
        <w:tc>
          <w:tcPr>
            <w:tcW w:type="dxa" w:w="1417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Présente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Avant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Fiche d'inscription et pièces justificatives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Avant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Compte rendu d'entretien d'admission et résultat du positionnement</w:t>
            </w:r>
          </w:p>
        </w:tc>
        <w:tc>
          <w:tcPr>
            <w:tcW w:type="dxa" w:w="1417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Avant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Accord de financement (EDOF, KAIROS, OPCO, Région…) ou contrat de formation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Avant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Convention ou contrat signé ; convocation envoyée</w:t>
            </w:r>
          </w:p>
        </w:tc>
        <w:tc>
          <w:tcPr>
            <w:tcW w:type="dxa" w:w="1417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Entrée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Attestation d'entrée ; accusé de réception du livret, du règlement et de la charte IA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Entrée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Contrat d'engagement réciproque ; autorisation d'image (facultative)</w:t>
            </w:r>
          </w:p>
        </w:tc>
        <w:tc>
          <w:tcPr>
            <w:tcW w:type="dxa" w:w="1417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Pendant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Feuilles d'émargement par demi-journée ; attestations mensuelles de présence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Pendant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Suivi des absences et actions menées</w:t>
            </w:r>
          </w:p>
        </w:tc>
        <w:tc>
          <w:tcPr>
            <w:tcW w:type="dxa" w:w="1417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Pendant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Conventions de période en entreprise, fiches de suivi, attestations de période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Pendant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Bilan de mi-parcours ; fiches de liaison prescripteur</w:t>
            </w:r>
          </w:p>
        </w:tc>
        <w:tc>
          <w:tcPr>
            <w:tcW w:type="dxa" w:w="1417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Fin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Évaluation de satisfaction à chaud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Fin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Attestation de fin de formation ; certificat de réalisation</w:t>
            </w:r>
          </w:p>
        </w:tc>
        <w:tc>
          <w:tcPr>
            <w:tcW w:type="dxa" w:w="1417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Fin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Convocation et résultat de la session de validation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E8EEF7"/>
          </w:tcPr>
          <w:p>
            <w:r/>
            <w:r>
              <w:rPr>
                <w:b w:val="0"/>
                <w:sz w:val="22"/>
              </w:rPr>
              <w:t>Après</w:t>
            </w:r>
          </w:p>
        </w:tc>
        <w:tc>
          <w:tcPr>
            <w:tcW w:type="dxa" w:w="6746"/>
            <w:shd w:val="clear" w:color="auto" w:fill="E8EEF7"/>
          </w:tcPr>
          <w:p>
            <w:r/>
            <w:r>
              <w:rPr>
                <w:b w:val="0"/>
                <w:sz w:val="22"/>
              </w:rPr>
              <w:t>Questionnaire à froid ; enquête d'insertion à 6 mois</w:t>
            </w:r>
          </w:p>
        </w:tc>
        <w:tc>
          <w:tcPr>
            <w:tcW w:type="dxa" w:w="1417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r/>
            <w:r>
              <w:rPr>
                <w:b w:val="0"/>
                <w:sz w:val="22"/>
              </w:rPr>
              <w:t>Séparé</w:t>
            </w:r>
          </w:p>
        </w:tc>
        <w:tc>
          <w:tcPr>
            <w:tcW w:type="dxa" w:w="6746"/>
          </w:tcPr>
          <w:p>
            <w:r/>
            <w:r>
              <w:rPr>
                <w:b w:val="0"/>
                <w:sz w:val="22"/>
              </w:rPr>
              <w:t>Dossier handicap confidentiel (si concerné)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>Conservation : durée de la formation + 5 ans, ou durée exigée par le financeur si elle est plus longue.</w:t>
            </w:r>
          </w:p>
          <w:p>
            <w:r>
              <w:rPr>
                <w:b w:val="0"/>
                <w:sz w:val="22"/>
              </w:rPr>
              <w:t>Stockage dans un espace chiffré hébergé dans l'Union européenne, accès limité aux personnes habilitées.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CHK-19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Contenu du dossier de chaque stagiaire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