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6B"/>
          <w:sz w:val="44"/>
        </w:rPr>
        <w:t>Règlement intérieur applicable aux stagiaires</w:t>
      </w:r>
    </w:p>
    <w:p>
      <w:r>
        <w:rPr>
          <w:b/>
          <w:color w:val="8A6D1F"/>
          <w:sz w:val="28"/>
        </w:rPr>
        <w:t>Articles L.6352-3 à L.6352-5 et R.6352-1 à R.6352-15 du code du travail</w:t>
      </w:r>
    </w:p>
    <w:p>
      <w:pPr>
        <w:pBdr>
          <w:bottom w:val="single" w:sz="18" w:space="1" w:color="C9A94D"/>
        </w:pBdr>
      </w:pPr>
    </w:p>
    <w:p>
      <w:pPr>
        <w:pStyle w:val="Heading3"/>
      </w:pPr>
      <w:r>
        <w:t>Article 1 — Objet et champ</w:t>
      </w:r>
    </w:p>
    <w:p>
      <w:r>
        <w:rPr>
          <w:b w:val="0"/>
        </w:rPr>
        <w:t>Le présent règlement s'applique à toute personne inscrite à une action de formation de l'organisme, pendant toute sa durée, dans les locaux et lors des activités extérieures.</w:t>
      </w:r>
    </w:p>
    <w:p>
      <w:pPr>
        <w:pStyle w:val="Heading3"/>
      </w:pPr>
      <w:r>
        <w:t>Article 2 — Hygiène et sécurité</w:t>
      </w:r>
    </w:p>
    <w:p>
      <w:r>
        <w:rPr>
          <w:b w:val="0"/>
        </w:rPr>
        <w:t>Respect des consignes de sécurité, d'incendie et d'évacuation affichées. Interdiction de fumer et de vapoter dans les locaux, d'y introduire de l'alcool ou des substances illicites. Tout accident, même bénin, est signalé immédiatement. Consignes cycloniques : en alerte orange, la formation est maintenue ou passe à distance selon décision de l'organisme ; en alerte rouge, les locaux sont fermés.</w:t>
      </w:r>
    </w:p>
    <w:p>
      <w:pPr>
        <w:pStyle w:val="Heading3"/>
      </w:pPr>
      <w:r>
        <w:t>Article 3 — Horaires, absences, retards</w:t>
      </w:r>
    </w:p>
    <w:p>
      <w:r>
        <w:rPr>
          <w:b w:val="0"/>
        </w:rPr>
        <w:t xml:space="preserve">Horaires : 8 h 00 – 12 h 00 et 13 h 00 – 16 h 00 ; pauses de 10 h 00 à 10 h 15 et de 15 h 00 à 15 h 15. Émargement obligatoire par demi-journée. Toute absence est justifiée sous 48 h. Le financeur est informé des absences conformément à ses règles. À partir de </w:t>
      </w:r>
      <w:r>
        <w:rPr>
          <w:b/>
          <w:i/>
          <w:color w:val="8A6D1F"/>
        </w:rPr>
        <w:t>[À COMPLÉTER : ex. 2]</w:t>
      </w:r>
      <w:r>
        <w:rPr>
          <w:b w:val="0"/>
        </w:rPr>
        <w:t xml:space="preserve"> absences injustifiées, un entretien de suivi est organisé.</w:t>
      </w:r>
    </w:p>
    <w:p>
      <w:pPr>
        <w:pStyle w:val="Heading3"/>
      </w:pPr>
      <w:r>
        <w:t>Article 4 — Comportement</w:t>
      </w:r>
    </w:p>
    <w:p>
      <w:r>
        <w:rPr>
          <w:b w:val="0"/>
        </w:rPr>
        <w:t>Respect des personnes, des opinions et des biens. Toute forme de harcèlement, de discrimination ou de violence est interdite et signalée. Téléphones en mode silencieux.</w:t>
      </w:r>
    </w:p>
    <w:p>
      <w:pPr>
        <w:pStyle w:val="Heading3"/>
      </w:pPr>
      <w:r>
        <w:t>Article 5 — Usage du numérique et de l'IA</w:t>
      </w:r>
    </w:p>
    <w:p>
      <w:r>
        <w:rPr>
          <w:b w:val="0"/>
        </w:rPr>
        <w:t>Utilisation des outils d'IA uniquement selon la charte IA de l'organisme. Interdiction de saisir des données personnelles (clients, collègues, entreprise d'accueil) dans un outil d'IA non validé. Les productions d'examen doivent être personnelles ; tout usage d'IA est déclaré.</w:t>
      </w:r>
    </w:p>
    <w:p>
      <w:pPr>
        <w:pStyle w:val="Heading3"/>
      </w:pPr>
      <w:r>
        <w:t>Article 6 — Sanctions</w:t>
      </w:r>
    </w:p>
    <w:p>
      <w:r>
        <w:rPr>
          <w:b w:val="0"/>
        </w:rPr>
        <w:t>Tout manquement peut donner lieu à : avertissement écrit, blâme, exclusion temporaire ou définitive. Le financeur est informé de toute sanction (art. R.6352-8).</w:t>
      </w:r>
    </w:p>
    <w:p>
      <w:pPr>
        <w:pStyle w:val="Heading3"/>
      </w:pPr>
      <w:r>
        <w:t>Article 7 — Procédure disciplinaire</w:t>
      </w:r>
    </w:p>
    <w:p>
      <w:r>
        <w:rPr>
          <w:b w:val="0"/>
        </w:rPr>
        <w:t>Aucune sanction sans que le stagiaire ait été informé des griefs. Pour une sanction ayant une incidence sur la présence en formation : convocation écrite précisant l'objet, la date, l'heure et le lieu de l'entretien, possibilité d'être assisté, décision motivée notifiée par écrit au plus tôt 1 jour franc et au plus tard 15 jours après l'entretien (art. R.6352-4 à R.6352-6).</w:t>
      </w:r>
    </w:p>
    <w:p>
      <w:pPr>
        <w:pStyle w:val="Heading3"/>
      </w:pPr>
      <w:r>
        <w:t>Article 8 — Représentation des stagiaires</w:t>
      </w:r>
    </w:p>
    <w:p>
      <w:r>
        <w:rPr>
          <w:b w:val="0"/>
        </w:rPr>
        <w:t>Pour les actions d'une durée supérieure à 500 heures (cas des deux titres professionnels), un délégué titulaire et un délégué suppléant sont élus au scrutin uninominal à deux tours, entre la 20e et la 40e heure de formation (art. R.6352-9 à R.6352-12). Les délégués font toute suggestion pour améliorer le déroulement des stages et présentent les réclamations.</w:t>
      </w:r>
    </w:p>
    <w:p>
      <w:pPr>
        <w:pStyle w:val="Heading3"/>
      </w:pPr>
      <w:r>
        <w:t>Article 9 — Données personnelles et droit à l'image</w:t>
      </w:r>
    </w:p>
    <w:p>
      <w:r>
        <w:rPr>
          <w:b w:val="0"/>
        </w:rPr>
        <w:t>Les données des stagiaires sont traitées conformément au RGPD (mention d'information remise). Aucune photo ou vidéo d'un stagiaire n'est réalisée ou diffusée sans son autorisation écrite et révocable.</w:t>
      </w:r>
    </w:p>
    <w:p>
      <w:pPr>
        <w:pStyle w:val="Heading3"/>
      </w:pPr>
      <w:r>
        <w:t>Article 10 — Publicité</w:t>
      </w:r>
    </w:p>
    <w:p>
      <w:r>
        <w:rPr>
          <w:b w:val="0"/>
        </w:rPr>
        <w:t>Le présent règlement est remis à chaque stagiaire avant l'entrée en formation et affiché dans les locaux.</w:t>
      </w:r>
    </w:p>
    <w:p>
      <w:r>
        <w:rPr>
          <w:b w:val="0"/>
        </w:rPr>
        <w:t xml:space="preserve">Fait à </w:t>
      </w:r>
      <w:r>
        <w:rPr>
          <w:b/>
          <w:i/>
          <w:color w:val="8A6D1F"/>
        </w:rPr>
        <w:t>[À COMPLÉTER]</w:t>
      </w:r>
      <w:r>
        <w:rPr>
          <w:b w:val="0"/>
        </w:rPr>
        <w:t xml:space="preserve">, le </w:t>
      </w:r>
      <w:r>
        <w:rPr>
          <w:b/>
          <w:i/>
          <w:color w:val="8A6D1F"/>
        </w:rPr>
        <w:t>[À COMPLÉTER]</w:t>
      </w:r>
      <w:r>
        <w:rPr>
          <w:b w:val="0"/>
        </w:rPr>
        <w:t>.   Le directeur : Aurélien LUMEKA</w:t>
      </w:r>
    </w:p>
    <w:p>
      <w:r>
        <w:br w:type="page"/>
      </w:r>
    </w:p>
    <w:p>
      <w:pPr>
        <w:pStyle w:val="Heading2"/>
      </w:pPr>
      <w:r>
        <w:t>Procès-verbal d'élection des délégués des stagiaires</w:t>
      </w:r>
    </w:p>
    <w:tbl>
      <w:tblPr>
        <w:tblStyle w:val="TableGrid"/>
        <w:tblW w:type="auto" w:w="0"/>
        <w:tblLayout w:type="fixed"/>
        <w:tblLook w:firstColumn="1" w:firstRow="1" w:lastColumn="0" w:lastRow="0" w:noHBand="0" w:noVBand="1" w:val="04A0"/>
      </w:tblPr>
      <w:tblGrid>
        <w:gridCol w:w="3685"/>
        <w:gridCol w:w="5953"/>
      </w:tblGrid>
      <w:tr>
        <w:trPr>
          <w:cantSplit w:val="true"/>
        </w:trPr>
        <w:tc>
          <w:tcPr>
            <w:tcW w:type="dxa" w:w="3685"/>
            <w:shd w:val="clear" w:color="auto" w:fill="E8EEF7"/>
          </w:tcPr>
          <w:p>
            <w:r>
              <w:rPr>
                <w:b/>
                <w:color w:val="1B3A6B"/>
                <w:sz w:val="22"/>
              </w:rPr>
              <w:t>Action de formation / session</w:t>
            </w:r>
          </w:p>
        </w:tc>
        <w:tc>
          <w:tcPr>
            <w:tcW w:type="dxa" w:w="5953"/>
          </w:tcPr>
          <w:p/>
        </w:tc>
      </w:tr>
      <w:tr>
        <w:trPr>
          <w:cantSplit w:val="true"/>
        </w:trPr>
        <w:tc>
          <w:tcPr>
            <w:tcW w:type="dxa" w:w="3685"/>
            <w:shd w:val="clear" w:color="auto" w:fill="E8EEF7"/>
          </w:tcPr>
          <w:p>
            <w:r>
              <w:rPr>
                <w:b/>
                <w:color w:val="1B3A6B"/>
                <w:sz w:val="22"/>
              </w:rPr>
              <w:t>Date du scrutin (entre 20e et 40e heure)</w:t>
            </w:r>
          </w:p>
        </w:tc>
        <w:tc>
          <w:tcPr>
            <w:tcW w:type="dxa" w:w="5953"/>
          </w:tcPr>
          <w:p/>
        </w:tc>
      </w:tr>
      <w:tr>
        <w:trPr>
          <w:cantSplit w:val="true"/>
        </w:trPr>
        <w:tc>
          <w:tcPr>
            <w:tcW w:type="dxa" w:w="3685"/>
            <w:shd w:val="clear" w:color="auto" w:fill="E8EEF7"/>
          </w:tcPr>
          <w:p>
            <w:r>
              <w:rPr>
                <w:b/>
                <w:color w:val="1B3A6B"/>
                <w:sz w:val="22"/>
              </w:rPr>
              <w:t>Nombre d'inscrits / votants</w:t>
            </w:r>
          </w:p>
        </w:tc>
        <w:tc>
          <w:tcPr>
            <w:tcW w:type="dxa" w:w="5953"/>
          </w:tcPr>
          <w:p/>
        </w:tc>
      </w:tr>
      <w:tr>
        <w:trPr>
          <w:cantSplit w:val="true"/>
        </w:trPr>
        <w:tc>
          <w:tcPr>
            <w:tcW w:type="dxa" w:w="3685"/>
            <w:shd w:val="clear" w:color="auto" w:fill="E8EEF7"/>
          </w:tcPr>
          <w:p>
            <w:r>
              <w:rPr>
                <w:b/>
                <w:color w:val="1B3A6B"/>
                <w:sz w:val="22"/>
              </w:rPr>
              <w:t>Délégué titulaire élu</w:t>
            </w:r>
          </w:p>
        </w:tc>
        <w:tc>
          <w:tcPr>
            <w:tcW w:type="dxa" w:w="5953"/>
          </w:tcPr>
          <w:p/>
        </w:tc>
      </w:tr>
      <w:tr>
        <w:trPr>
          <w:cantSplit w:val="true"/>
        </w:trPr>
        <w:tc>
          <w:tcPr>
            <w:tcW w:type="dxa" w:w="3685"/>
            <w:shd w:val="clear" w:color="auto" w:fill="E8EEF7"/>
          </w:tcPr>
          <w:p>
            <w:r>
              <w:rPr>
                <w:b/>
                <w:color w:val="1B3A6B"/>
                <w:sz w:val="22"/>
              </w:rPr>
              <w:t>Délégué suppléant élu</w:t>
            </w:r>
          </w:p>
        </w:tc>
        <w:tc>
          <w:tcPr>
            <w:tcW w:type="dxa" w:w="5953"/>
          </w:tcPr>
          <w:p/>
        </w:tc>
      </w:tr>
      <w:tr>
        <w:trPr>
          <w:cantSplit w:val="true"/>
        </w:trPr>
        <w:tc>
          <w:tcPr>
            <w:tcW w:type="dxa" w:w="3685"/>
            <w:shd w:val="clear" w:color="auto" w:fill="E8EEF7"/>
          </w:tcPr>
          <w:p>
            <w:r>
              <w:rPr>
                <w:b/>
                <w:color w:val="1B3A6B"/>
                <w:sz w:val="22"/>
              </w:rPr>
              <w:t>Carence éventuelle (motif)</w:t>
            </w:r>
          </w:p>
        </w:tc>
        <w:tc>
          <w:tcPr>
            <w:tcW w:type="dxa" w:w="5953"/>
          </w:tcPr>
          <w:p/>
        </w:tc>
      </w:tr>
    </w:tbl>
    <w:p/>
    <w:tbl>
      <w:tblPr>
        <w:tblStyle w:val="TableGrid"/>
        <w:tblW w:type="auto" w:w="0"/>
        <w:tblLayout w:type="fixed"/>
        <w:tblLook w:firstColumn="1" w:firstRow="1" w:lastColumn="0" w:lastRow="0" w:noHBand="0" w:noVBand="1" w:val="04A0"/>
      </w:tblPr>
      <w:tblGrid>
        <w:gridCol w:w="4819"/>
        <w:gridCol w:w="4819"/>
      </w:tblGrid>
      <w:tr>
        <w:tc>
          <w:tcPr>
            <w:tcW w:type="dxa" w:w="4819"/>
            <w:shd w:val="clear" w:color="auto" w:fill="E8EEF7"/>
          </w:tcPr>
          <w:p>
            <w:r>
              <w:rPr>
                <w:b/>
                <w:color w:val="1B3A6B"/>
                <w:sz w:val="22"/>
              </w:rPr>
              <w:t>Le directeur</w:t>
            </w:r>
          </w:p>
        </w:tc>
        <w:tc>
          <w:tcPr>
            <w:tcW w:type="dxa" w:w="4819"/>
            <w:shd w:val="clear" w:color="auto" w:fill="E8EEF7"/>
          </w:tcPr>
          <w:p>
            <w:r>
              <w:rPr>
                <w:b/>
                <w:color w:val="1B3A6B"/>
                <w:sz w:val="22"/>
              </w:rPr>
              <w:t>Les délégués élus</w:t>
            </w:r>
          </w:p>
        </w:tc>
      </w:tr>
      <w:tr>
        <w:trPr>
          <w:cantSplit w:val="true"/>
        </w:trPr>
        <w:tc>
          <w:tcPr>
            <w:tcW w:type="dxa" w:w="4819"/>
          </w:tcPr>
          <w:p>
            <w:r>
              <w:rPr>
                <w:b w:val="0"/>
                <w:sz w:val="22"/>
              </w:rPr>
              <w:t>Date :</w:t>
              <w:br/>
              <w:br/>
              <w:t>Signature :</w:t>
              <w:br/>
              <w:br/>
              <w:br/>
            </w:r>
          </w:p>
        </w:tc>
        <w:tc>
          <w:tcPr>
            <w:tcW w:type="dxa" w:w="4819"/>
          </w:tcPr>
          <w:p>
            <w:r>
              <w:rPr>
                <w:b w:val="0"/>
                <w:sz w:val="22"/>
              </w:rPr>
              <w:t>Date :</w:t>
              <w:br/>
              <w:br/>
              <w:t>Signature :</w:t>
              <w:br/>
              <w:br/>
              <w:br/>
            </w:r>
          </w:p>
        </w:tc>
      </w:tr>
    </w:tbl>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3A6B"/>
        <w:sz w:val="18"/>
      </w:rPr>
      <w:t xml:space="preserve">RI-06   |   YEBA FORMATIONS — SIRET 814 622 262 00032 — Version 2026-10   |   Page </w:t>
    </w:r>
    <w:r>
      <w:rPr>
        <w:color w:val="1B3A6B"/>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34228" cy="540000"/>
          <wp:docPr id="1" name="Picture 1"/>
          <wp:cNvGraphicFramePr>
            <a:graphicFrameLocks noChangeAspect="1"/>
          </wp:cNvGraphicFramePr>
          <a:graphic>
            <a:graphicData uri="http://schemas.openxmlformats.org/drawingml/2006/picture">
              <pic:pic>
                <pic:nvPicPr>
                  <pic:cNvPr id="0" name="logo_yeba_formations.png"/>
                  <pic:cNvPicPr/>
                </pic:nvPicPr>
                <pic:blipFill>
                  <a:blip r:embed="rId1"/>
                  <a:stretch>
                    <a:fillRect/>
                  </a:stretch>
                </pic:blipFill>
                <pic:spPr>
                  <a:xfrm>
                    <a:off x="0" y="0"/>
                    <a:ext cx="634228" cy="540000"/>
                  </a:xfrm>
                  <a:prstGeom prst="rect"/>
                </pic:spPr>
              </pic:pic>
            </a:graphicData>
          </a:graphic>
        </wp:inline>
      </w:drawing>
    </w:r>
    <w:r>
      <w:rPr>
        <w:b/>
        <w:color w:val="1B3A6B"/>
        <w:sz w:val="18"/>
      </w:rPr>
      <w:t xml:space="preserve">     YEBA FORMATIONS   |   NDA 04973676397   |   Qualiopi 25FOR02027.1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6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A6D1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Règlement intérieur applicable aux stagiaires</dc:title>
  <dc:subject/>
  <dc:creator>YEBA FORMATIONS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