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Registre des activités de traitement</w:t>
      </w:r>
    </w:p>
    <w:p>
      <w:r>
        <w:rPr>
          <w:b/>
          <w:color w:val="8A6D1F"/>
          <w:sz w:val="28"/>
        </w:rPr>
        <w:t>Article 30 du RGPD — responsable de traitement : YEBA FORMATIONS</w:t>
      </w:r>
    </w:p>
    <w:p>
      <w:pPr>
        <w:pBdr>
          <w:bottom w:val="single" w:sz="18" w:space="1" w:color="C9A94D"/>
        </w:pBdr>
      </w:pPr>
    </w:p>
    <w:p>
      <w:r>
        <w:rPr>
          <w:b w:val="0"/>
        </w:rPr>
        <w:t xml:space="preserve">Responsable de traitement : YEBA FORMATIONS, SIRET 814 622 262 00032, représenté par Aurélien LUMEKA. Contact : </w:t>
      </w:r>
      <w:r>
        <w:rPr>
          <w:b/>
          <w:i/>
          <w:color w:val="8A6D1F"/>
        </w:rPr>
        <w:t>[À COMPLÉTER : e-mail dédié aux données personnelles]</w:t>
      </w:r>
      <w:r>
        <w:rPr>
          <w:b w:val="0"/>
        </w:rPr>
        <w:t xml:space="preserve">. Délégué à la protection des données : non obligatoire à ce stade (pas de traitement à grande échelle de données sensibles) — </w:t>
      </w:r>
      <w:r>
        <w:rPr>
          <w:b/>
          <w:i/>
          <w:color w:val="8A6D1F"/>
        </w:rPr>
        <w:t>[À VÉRIFIER si la taille de l'activité évolue]</w:t>
      </w:r>
      <w:r>
        <w:rPr>
          <w:b w:val="0"/>
        </w:rPr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1701"/>
        <w:gridCol w:w="2551"/>
        <w:gridCol w:w="2268"/>
        <w:gridCol w:w="2835"/>
        <w:gridCol w:w="2835"/>
      </w:tblGrid>
      <w:tr>
        <w:trPr>
          <w:tblHeader w:val="true"/>
        </w:trPr>
        <w:tc>
          <w:tcPr>
            <w:tcW w:type="dxa" w:w="238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Traitement</w:t>
            </w:r>
          </w:p>
        </w:tc>
        <w:tc>
          <w:tcPr>
            <w:tcW w:type="dxa" w:w="170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Personnes</w:t>
            </w:r>
          </w:p>
        </w:tc>
        <w:tc>
          <w:tcPr>
            <w:tcW w:type="dxa" w:w="255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Données</w:t>
            </w:r>
          </w:p>
        </w:tc>
        <w:tc>
          <w:tcPr>
            <w:tcW w:type="dxa" w:w="226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Base légale</w:t>
            </w:r>
          </w:p>
        </w:tc>
        <w:tc>
          <w:tcPr>
            <w:tcW w:type="dxa" w:w="283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Destinataires</w:t>
            </w:r>
          </w:p>
        </w:tc>
        <w:tc>
          <w:tcPr>
            <w:tcW w:type="dxa" w:w="283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Conservation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r/>
            <w:r>
              <w:rPr>
                <w:b w:val="0"/>
                <w:sz w:val="22"/>
              </w:rPr>
              <w:t>Gestion des candidatures et admissions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Candidats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2"/>
              </w:rPr>
              <w:t>Identité, contact, situation, CV, résultats du positionnement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2"/>
              </w:rPr>
              <w:t>Mesures précontractuelles (6.1.b)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Équipe pédagogique, prescripteur (si accord)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2 ans après le dernier contact si non retenu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8EEF7"/>
          </w:tcPr>
          <w:p>
            <w:r/>
            <w:r>
              <w:rPr>
                <w:b w:val="0"/>
                <w:sz w:val="22"/>
              </w:rPr>
              <w:t>Gestion administrative et pédagogique des stagiaires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Stagiaires</w:t>
            </w:r>
          </w:p>
        </w:tc>
        <w:tc>
          <w:tcPr>
            <w:tcW w:type="dxa" w:w="2551"/>
            <w:shd w:val="clear" w:color="auto" w:fill="E8EEF7"/>
          </w:tcPr>
          <w:p>
            <w:r/>
            <w:r>
              <w:rPr>
                <w:b w:val="0"/>
                <w:sz w:val="22"/>
              </w:rPr>
              <w:t>Identité, contact, présence, évaluations, dossier professionnel</w:t>
            </w:r>
          </w:p>
        </w:tc>
        <w:tc>
          <w:tcPr>
            <w:tcW w:type="dxa" w:w="2268"/>
            <w:shd w:val="clear" w:color="auto" w:fill="E8EEF7"/>
          </w:tcPr>
          <w:p>
            <w:r/>
            <w:r>
              <w:rPr>
                <w:b w:val="0"/>
                <w:sz w:val="22"/>
              </w:rPr>
              <w:t>Contrat (6.1.b) ; obligation légale (6.1.c)</w:t>
            </w:r>
          </w:p>
        </w:tc>
        <w:tc>
          <w:tcPr>
            <w:tcW w:type="dxa" w:w="2835"/>
            <w:shd w:val="clear" w:color="auto" w:fill="E8EEF7"/>
          </w:tcPr>
          <w:p>
            <w:r/>
            <w:r>
              <w:rPr>
                <w:b w:val="0"/>
                <w:sz w:val="22"/>
              </w:rPr>
              <w:t>Formateurs, financeurs, DEETS, jury, plateformes publiques</w:t>
            </w:r>
          </w:p>
        </w:tc>
        <w:tc>
          <w:tcPr>
            <w:tcW w:type="dxa" w:w="2835"/>
            <w:shd w:val="clear" w:color="auto" w:fill="E8EEF7"/>
          </w:tcPr>
          <w:p>
            <w:r/>
            <w:r>
              <w:rPr>
                <w:b w:val="0"/>
                <w:sz w:val="22"/>
              </w:rPr>
              <w:t xml:space="preserve">Durée de la formation + 5 ans </w:t>
            </w:r>
            <w:r>
              <w:rPr>
                <w:b/>
                <w:i/>
                <w:color w:val="8A6D1F"/>
                <w:sz w:val="22"/>
              </w:rPr>
              <w:t>[À VÉRIFIER : durée exigée par chaque financeur]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r/>
            <w:r>
              <w:rPr>
                <w:b w:val="0"/>
                <w:sz w:val="22"/>
              </w:rPr>
              <w:t>Déclarations aux financeurs (EDOF, KAIROS, Région, OPCO)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Stagiaires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2"/>
              </w:rPr>
              <w:t>Identité, identifiants financeur, présence, résultats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2"/>
              </w:rPr>
              <w:t>Obligation légale / contrat (6.1.c, 6.1.b)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Caisse des Dépôts, France Travail, Région, OPCO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Durée exigée par le financeur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8EEF7"/>
          </w:tcPr>
          <w:p>
            <w:r/>
            <w:r>
              <w:rPr>
                <w:b w:val="0"/>
                <w:sz w:val="22"/>
              </w:rPr>
              <w:t>Accompagnement du handicap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Stagiaires concernés</w:t>
            </w:r>
          </w:p>
        </w:tc>
        <w:tc>
          <w:tcPr>
            <w:tcW w:type="dxa" w:w="2551"/>
            <w:shd w:val="clear" w:color="auto" w:fill="E8EEF7"/>
          </w:tcPr>
          <w:p>
            <w:r/>
            <w:r>
              <w:rPr>
                <w:b w:val="0"/>
                <w:sz w:val="22"/>
              </w:rPr>
              <w:t>Besoins d'aménagement (donnée de santé)</w:t>
            </w:r>
          </w:p>
        </w:tc>
        <w:tc>
          <w:tcPr>
            <w:tcW w:type="dxa" w:w="2268"/>
            <w:shd w:val="clear" w:color="auto" w:fill="E8EEF7"/>
          </w:tcPr>
          <w:p>
            <w:r/>
            <w:r>
              <w:rPr>
                <w:b w:val="0"/>
                <w:sz w:val="22"/>
              </w:rPr>
              <w:t>Consentement explicite (9.2.a)</w:t>
            </w:r>
          </w:p>
        </w:tc>
        <w:tc>
          <w:tcPr>
            <w:tcW w:type="dxa" w:w="2835"/>
            <w:shd w:val="clear" w:color="auto" w:fill="E8EEF7"/>
          </w:tcPr>
          <w:p>
            <w:r/>
            <w:r>
              <w:rPr>
                <w:b w:val="0"/>
                <w:sz w:val="22"/>
              </w:rPr>
              <w:t>Référent handicap seul ; Agefiph / Cap emploi avec accord</w:t>
            </w:r>
          </w:p>
        </w:tc>
        <w:tc>
          <w:tcPr>
            <w:tcW w:type="dxa" w:w="2835"/>
            <w:shd w:val="clear" w:color="auto" w:fill="E8EEF7"/>
          </w:tcPr>
          <w:p>
            <w:r/>
            <w:r>
              <w:rPr>
                <w:b w:val="0"/>
                <w:sz w:val="22"/>
              </w:rPr>
              <w:t>Fin du parcours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r/>
            <w:r>
              <w:rPr>
                <w:b w:val="0"/>
                <w:sz w:val="22"/>
              </w:rPr>
              <w:t>Rémunération des stagiaires (si dossier Région / ASP)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Stagiaires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2"/>
              </w:rPr>
              <w:t>Identité, NIR, RIB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2"/>
              </w:rPr>
              <w:t>Obligation légale / mission du financeur (6.1.c / 6.1.e)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Financeur, ASP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Durée exigée par le financeur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8EEF7"/>
          </w:tcPr>
          <w:p>
            <w:r/>
            <w:r>
              <w:rPr>
                <w:b w:val="0"/>
                <w:sz w:val="22"/>
              </w:rPr>
              <w:t>Suivi de l'insertion et indicateurs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Anciens stagiaires</w:t>
            </w:r>
          </w:p>
        </w:tc>
        <w:tc>
          <w:tcPr>
            <w:tcW w:type="dxa" w:w="2551"/>
            <w:shd w:val="clear" w:color="auto" w:fill="E8EEF7"/>
          </w:tcPr>
          <w:p>
            <w:r/>
            <w:r>
              <w:rPr>
                <w:b w:val="0"/>
                <w:sz w:val="22"/>
              </w:rPr>
              <w:t>Situation professionnelle à 6 mois</w:t>
            </w:r>
          </w:p>
        </w:tc>
        <w:tc>
          <w:tcPr>
            <w:tcW w:type="dxa" w:w="2268"/>
            <w:shd w:val="clear" w:color="auto" w:fill="E8EEF7"/>
          </w:tcPr>
          <w:p>
            <w:r/>
            <w:r>
              <w:rPr>
                <w:b w:val="0"/>
                <w:sz w:val="22"/>
              </w:rPr>
              <w:t>Obligation légale (indicateurs publics) / intérêt légitime (6.1.f)</w:t>
            </w:r>
          </w:p>
        </w:tc>
        <w:tc>
          <w:tcPr>
            <w:tcW w:type="dxa" w:w="2835"/>
            <w:shd w:val="clear" w:color="auto" w:fill="E8EEF7"/>
          </w:tcPr>
          <w:p>
            <w:r/>
            <w:r>
              <w:rPr>
                <w:b w:val="0"/>
                <w:sz w:val="22"/>
              </w:rPr>
              <w:t>Interne ; résultats agrégés publiés</w:t>
            </w:r>
          </w:p>
        </w:tc>
        <w:tc>
          <w:tcPr>
            <w:tcW w:type="dxa" w:w="2835"/>
            <w:shd w:val="clear" w:color="auto" w:fill="E8EEF7"/>
          </w:tcPr>
          <w:p>
            <w:r/>
            <w:r>
              <w:rPr>
                <w:b w:val="0"/>
                <w:sz w:val="22"/>
              </w:rPr>
              <w:t>2 ans (réponses individuelles)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r/>
            <w:r>
              <w:rPr>
                <w:b w:val="0"/>
                <w:sz w:val="22"/>
              </w:rPr>
              <w:t>Prospection commerciale B2B et B2C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Prospects, entreprises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2"/>
              </w:rPr>
              <w:t>Identité, fonction, contact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2"/>
              </w:rPr>
              <w:t>Intérêt légitime (B2B) / consentement (B2C e-mail)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Interne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3 ans après le dernier contact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8EEF7"/>
          </w:tcPr>
          <w:p>
            <w:r/>
            <w:r>
              <w:rPr>
                <w:b w:val="0"/>
                <w:sz w:val="22"/>
              </w:rPr>
              <w:t>Gestion des formateurs et sous-traitants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Formateurs</w:t>
            </w:r>
          </w:p>
        </w:tc>
        <w:tc>
          <w:tcPr>
            <w:tcW w:type="dxa" w:w="2551"/>
            <w:shd w:val="clear" w:color="auto" w:fill="E8EEF7"/>
          </w:tcPr>
          <w:p>
            <w:r/>
            <w:r>
              <w:rPr>
                <w:b w:val="0"/>
                <w:sz w:val="22"/>
              </w:rPr>
              <w:t>Identité, CV, diplômes, contrat, facturation</w:t>
            </w:r>
          </w:p>
        </w:tc>
        <w:tc>
          <w:tcPr>
            <w:tcW w:type="dxa" w:w="2268"/>
            <w:shd w:val="clear" w:color="auto" w:fill="E8EEF7"/>
          </w:tcPr>
          <w:p>
            <w:r/>
            <w:r>
              <w:rPr>
                <w:b w:val="0"/>
                <w:sz w:val="22"/>
              </w:rPr>
              <w:t>Contrat (6.1.b)</w:t>
            </w:r>
          </w:p>
        </w:tc>
        <w:tc>
          <w:tcPr>
            <w:tcW w:type="dxa" w:w="2835"/>
            <w:shd w:val="clear" w:color="auto" w:fill="E8EEF7"/>
          </w:tcPr>
          <w:p>
            <w:r/>
            <w:r>
              <w:rPr>
                <w:b w:val="0"/>
                <w:sz w:val="22"/>
              </w:rPr>
              <w:t>Interne, Qualiopi, DEETS</w:t>
            </w:r>
          </w:p>
        </w:tc>
        <w:tc>
          <w:tcPr>
            <w:tcW w:type="dxa" w:w="2835"/>
            <w:shd w:val="clear" w:color="auto" w:fill="E8EEF7"/>
          </w:tcPr>
          <w:p>
            <w:r/>
            <w:r>
              <w:rPr>
                <w:b w:val="0"/>
                <w:sz w:val="22"/>
              </w:rPr>
              <w:t>Durée de la relation + 5 ans ; pièces comptables 10 ans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r/>
            <w:r>
              <w:rPr>
                <w:b w:val="0"/>
                <w:sz w:val="22"/>
              </w:rPr>
              <w:t>Comptabilité et facturation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Clients, financeurs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2"/>
              </w:rPr>
              <w:t>Identité, facturation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2"/>
              </w:rPr>
              <w:t>Obligation légale (6.1.c)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Expert-comptable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10 ans (art. L.123-22 code de commerce)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8EEF7"/>
          </w:tcPr>
          <w:p>
            <w:r/>
            <w:r>
              <w:rPr>
                <w:b w:val="0"/>
                <w:sz w:val="22"/>
              </w:rPr>
              <w:t>Enquêtes de satisfaction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Stagiaires, entreprises</w:t>
            </w:r>
          </w:p>
        </w:tc>
        <w:tc>
          <w:tcPr>
            <w:tcW w:type="dxa" w:w="2551"/>
            <w:shd w:val="clear" w:color="auto" w:fill="E8EEF7"/>
          </w:tcPr>
          <w:p>
            <w:r/>
            <w:r>
              <w:rPr>
                <w:b w:val="0"/>
                <w:sz w:val="22"/>
              </w:rPr>
              <w:t>Réponses</w:t>
            </w:r>
          </w:p>
        </w:tc>
        <w:tc>
          <w:tcPr>
            <w:tcW w:type="dxa" w:w="2268"/>
            <w:shd w:val="clear" w:color="auto" w:fill="E8EEF7"/>
          </w:tcPr>
          <w:p>
            <w:r/>
            <w:r>
              <w:rPr>
                <w:b w:val="0"/>
                <w:sz w:val="22"/>
              </w:rPr>
              <w:t>Intérêt légitime / obligation Qualiopi</w:t>
            </w:r>
          </w:p>
        </w:tc>
        <w:tc>
          <w:tcPr>
            <w:tcW w:type="dxa" w:w="2835"/>
            <w:shd w:val="clear" w:color="auto" w:fill="E8EEF7"/>
          </w:tcPr>
          <w:p>
            <w:r/>
            <w:r>
              <w:rPr>
                <w:b w:val="0"/>
                <w:sz w:val="22"/>
              </w:rPr>
              <w:t>Interne</w:t>
            </w:r>
          </w:p>
        </w:tc>
        <w:tc>
          <w:tcPr>
            <w:tcW w:type="dxa" w:w="2835"/>
            <w:shd w:val="clear" w:color="auto" w:fill="E8EEF7"/>
          </w:tcPr>
          <w:p>
            <w:r/>
            <w:r>
              <w:rPr>
                <w:b w:val="0"/>
                <w:sz w:val="22"/>
              </w:rPr>
              <w:t>2 ans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r/>
            <w:r>
              <w:rPr>
                <w:b w:val="0"/>
                <w:sz w:val="22"/>
              </w:rPr>
              <w:t>Image et témoignages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Stagiaires volontaires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2"/>
              </w:rPr>
              <w:t>Photo, vidéo, témoignage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2"/>
              </w:rPr>
              <w:t>Consentement (6.1.a)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Public (site, réseaux)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2 ans ou jusqu'au retrait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E8EEF7"/>
          </w:tcPr>
          <w:p>
            <w:r/>
            <w:r>
              <w:rPr>
                <w:b w:val="0"/>
                <w:sz w:val="22"/>
              </w:rPr>
              <w:t>Usage d'outils d'IA (rédaction, préparation de supports)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Aucune donnée personnelle saisie</w:t>
            </w:r>
          </w:p>
        </w:tc>
        <w:tc>
          <w:tcPr>
            <w:tcW w:type="dxa" w:w="2551"/>
            <w:shd w:val="clear" w:color="auto" w:fill="E8EEF7"/>
          </w:tcPr>
          <w:p>
            <w:r/>
            <w:r>
              <w:rPr>
                <w:b w:val="0"/>
                <w:sz w:val="22"/>
              </w:rPr>
              <w:t>Contenus pédagogiques non personnels</w:t>
            </w:r>
          </w:p>
        </w:tc>
        <w:tc>
          <w:tcPr>
            <w:tcW w:type="dxa" w:w="2268"/>
            <w:shd w:val="clear" w:color="auto" w:fill="E8EEF7"/>
          </w:tcPr>
          <w:p>
            <w:r/>
            <w:r>
              <w:rPr>
                <w:b w:val="0"/>
                <w:sz w:val="22"/>
              </w:rPr>
              <w:t>—</w:t>
            </w:r>
          </w:p>
        </w:tc>
        <w:tc>
          <w:tcPr>
            <w:tcW w:type="dxa" w:w="2835"/>
            <w:shd w:val="clear" w:color="auto" w:fill="E8EEF7"/>
          </w:tcPr>
          <w:p>
            <w:r/>
            <w:r>
              <w:rPr>
                <w:b w:val="0"/>
                <w:sz w:val="22"/>
              </w:rPr>
              <w:t>Fournisseur de l'outil (hébergement UE)</w:t>
            </w:r>
          </w:p>
        </w:tc>
        <w:tc>
          <w:tcPr>
            <w:tcW w:type="dxa" w:w="2835"/>
            <w:shd w:val="clear" w:color="auto" w:fill="E8EEF7"/>
          </w:tcPr>
          <w:p>
            <w:r/>
            <w:r>
              <w:rPr>
                <w:b w:val="0"/>
                <w:sz w:val="22"/>
              </w:rPr>
              <w:t>—</w:t>
            </w:r>
          </w:p>
        </w:tc>
      </w:tr>
    </w:tbl>
    <w:p/>
    <w:p>
      <w:pPr>
        <w:pStyle w:val="Heading2"/>
      </w:pPr>
      <w:r>
        <w:t>Sous-traitants (art. 28) — à tenir à jour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4536"/>
        <w:gridCol w:w="3231"/>
      </w:tblGrid>
      <w:tr>
        <w:trPr>
          <w:tblHeader w:val="true"/>
        </w:trPr>
        <w:tc>
          <w:tcPr>
            <w:tcW w:type="dxa" w:w="3402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Prestataire</w:t>
            </w:r>
          </w:p>
        </w:tc>
        <w:tc>
          <w:tcPr>
            <w:tcW w:type="dxa" w:w="3402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Service</w:t>
            </w:r>
          </w:p>
        </w:tc>
        <w:tc>
          <w:tcPr>
            <w:tcW w:type="dxa" w:w="453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Localisation des données</w:t>
            </w:r>
          </w:p>
        </w:tc>
        <w:tc>
          <w:tcPr>
            <w:tcW w:type="dxa" w:w="323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Contrat art. 28 signé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r/>
            <w:r>
              <w:rPr>
                <w:b w:val="0"/>
                <w:sz w:val="22"/>
              </w:rPr>
              <w:t>Baserow B.V.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2"/>
              </w:rPr>
              <w:t>Base de données (prospects, sessions)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2"/>
              </w:rPr>
              <w:t>Union européenne (Pays-Bas)</w:t>
            </w:r>
          </w:p>
        </w:tc>
        <w:tc>
          <w:tcPr>
            <w:tcW w:type="dxa" w:w="3231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3402"/>
            <w:shd w:val="clear" w:color="auto" w:fill="E8EEF7"/>
          </w:tcPr>
          <w:p>
            <w:r/>
            <w:r>
              <w:rPr>
                <w:b/>
                <w:i/>
                <w:color w:val="8A6D1F"/>
                <w:sz w:val="22"/>
              </w:rPr>
              <w:t>[À COMPLÉTER : messagerie]</w:t>
            </w:r>
          </w:p>
        </w:tc>
        <w:tc>
          <w:tcPr>
            <w:tcW w:type="dxa" w:w="3402"/>
            <w:shd w:val="clear" w:color="auto" w:fill="E8EEF7"/>
          </w:tcPr>
          <w:p>
            <w:r/>
            <w:r>
              <w:rPr>
                <w:b w:val="0"/>
                <w:sz w:val="22"/>
              </w:rPr>
              <w:t>E-mail</w:t>
            </w:r>
          </w:p>
        </w:tc>
        <w:tc>
          <w:tcPr>
            <w:tcW w:type="dxa" w:w="4535"/>
            <w:shd w:val="clear" w:color="auto" w:fill="E8EEF7"/>
          </w:tcPr>
          <w:p>
            <w:r/>
            <w:r>
              <w:rPr>
                <w:b/>
                <w:i/>
                <w:color w:val="8A6D1F"/>
                <w:sz w:val="22"/>
              </w:rPr>
              <w:t>[À VÉRIFIER : UE]</w:t>
            </w:r>
          </w:p>
        </w:tc>
        <w:tc>
          <w:tcPr>
            <w:tcW w:type="dxa" w:w="3231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r/>
            <w:r>
              <w:rPr>
                <w:b/>
                <w:i/>
                <w:color w:val="8A6D1F"/>
                <w:sz w:val="22"/>
              </w:rPr>
              <w:t>[À COMPLÉTER : stockage de fichiers]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2"/>
              </w:rPr>
              <w:t>Stockage des dossiers stagiaires</w:t>
            </w:r>
          </w:p>
        </w:tc>
        <w:tc>
          <w:tcPr>
            <w:tcW w:type="dxa" w:w="4535"/>
          </w:tcPr>
          <w:p>
            <w:r/>
            <w:r>
              <w:rPr>
                <w:b/>
                <w:i/>
                <w:color w:val="8A6D1F"/>
                <w:sz w:val="22"/>
              </w:rPr>
              <w:t>[À VÉRIFIER : UE]</w:t>
            </w:r>
          </w:p>
        </w:tc>
        <w:tc>
          <w:tcPr>
            <w:tcW w:type="dxa" w:w="3231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3402"/>
            <w:shd w:val="clear" w:color="auto" w:fill="E8EEF7"/>
          </w:tcPr>
          <w:p>
            <w:r/>
            <w:r>
              <w:rPr>
                <w:b/>
                <w:i/>
                <w:color w:val="8A6D1F"/>
                <w:sz w:val="22"/>
              </w:rPr>
              <w:t>[À COMPLÉTER : signature / émargement électronique]</w:t>
            </w:r>
          </w:p>
        </w:tc>
        <w:tc>
          <w:tcPr>
            <w:tcW w:type="dxa" w:w="3402"/>
            <w:shd w:val="clear" w:color="auto" w:fill="E8EEF7"/>
          </w:tcPr>
          <w:p>
            <w:r/>
            <w:r>
              <w:rPr>
                <w:b w:val="0"/>
                <w:sz w:val="22"/>
              </w:rPr>
              <w:t>Émargement, signatures</w:t>
            </w:r>
          </w:p>
        </w:tc>
        <w:tc>
          <w:tcPr>
            <w:tcW w:type="dxa" w:w="4535"/>
            <w:shd w:val="clear" w:color="auto" w:fill="E8EEF7"/>
          </w:tcPr>
          <w:p>
            <w:r/>
            <w:r>
              <w:rPr>
                <w:b/>
                <w:i/>
                <w:color w:val="8A6D1F"/>
                <w:sz w:val="22"/>
              </w:rPr>
              <w:t>[À VÉRIFIER : UE]</w:t>
            </w:r>
          </w:p>
        </w:tc>
        <w:tc>
          <w:tcPr>
            <w:tcW w:type="dxa" w:w="3231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  <w:tr>
        <w:trPr>
          <w:cantSplit w:val="true"/>
        </w:trPr>
        <w:tc>
          <w:tcPr>
            <w:tcW w:type="dxa" w:w="3402"/>
          </w:tcPr>
          <w:p>
            <w:r/>
            <w:r>
              <w:rPr>
                <w:b/>
                <w:i/>
                <w:color w:val="8A6D1F"/>
                <w:sz w:val="22"/>
              </w:rPr>
              <w:t>[À COMPLÉTER : outil d'IA validé]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2"/>
              </w:rPr>
              <w:t>Aide à la rédaction</w:t>
            </w:r>
          </w:p>
        </w:tc>
        <w:tc>
          <w:tcPr>
            <w:tcW w:type="dxa" w:w="4535"/>
          </w:tcPr>
          <w:p>
            <w:r/>
            <w:r>
              <w:rPr>
                <w:b/>
                <w:i/>
                <w:color w:val="8A6D1F"/>
                <w:sz w:val="22"/>
              </w:rPr>
              <w:t>[À VÉRIFIER : UE, pas de réutilisation des données pour l'entraînement]</w:t>
            </w:r>
          </w:p>
        </w:tc>
        <w:tc>
          <w:tcPr>
            <w:tcW w:type="dxa" w:w="3231"/>
          </w:tcPr>
          <w:p>
            <w:r/>
            <w:r>
              <w:rPr>
                <w:b w:val="0"/>
                <w:sz w:val="22"/>
              </w:rPr>
              <w:t>☐</w:t>
            </w:r>
          </w:p>
        </w:tc>
      </w:tr>
    </w:tbl>
    <w:p/>
    <w:p>
      <w:pPr>
        <w:pStyle w:val="Heading2"/>
      </w:pPr>
      <w:r>
        <w:t>Mesures de sécurité (art. 32)</w:t>
      </w:r>
    </w:p>
    <w:p>
      <w:pPr>
        <w:pStyle w:val="ListBullet"/>
      </w:pPr>
      <w:r>
        <w:rPr>
          <w:b w:val="0"/>
        </w:rPr>
        <w:t>Comptes nominatifs et authentification à deux facteurs</w:t>
      </w:r>
    </w:p>
    <w:p>
      <w:pPr>
        <w:pStyle w:val="ListBullet"/>
      </w:pPr>
      <w:r>
        <w:rPr>
          <w:b w:val="0"/>
        </w:rPr>
        <w:t>Dossiers stagiaires dans un espace chiffré à accès restreint ; dossier handicap séparé</w:t>
      </w:r>
    </w:p>
    <w:p>
      <w:pPr>
        <w:pStyle w:val="ListBullet"/>
      </w:pPr>
      <w:r>
        <w:rPr>
          <w:b w:val="0"/>
        </w:rPr>
        <w:t>Sauvegardes chiffrées hebdomadaires</w:t>
      </w:r>
    </w:p>
    <w:p>
      <w:pPr>
        <w:pStyle w:val="ListBullet"/>
      </w:pPr>
      <w:r>
        <w:rPr>
          <w:b w:val="0"/>
        </w:rPr>
        <w:t>Envoi aux financeurs par plateformes officielles ou liens sécurisés, jamais de pièce d'identité en clair par e-mail</w:t>
      </w:r>
    </w:p>
    <w:p>
      <w:pPr>
        <w:pStyle w:val="ListBullet"/>
      </w:pPr>
      <w:r>
        <w:rPr>
          <w:b w:val="0"/>
        </w:rPr>
        <w:t>Mises à jour et antivirus ; sensibilisation annuelle (SecNumacadémie de l'ANSSI)</w:t>
      </w:r>
    </w:p>
    <w:p>
      <w:pPr>
        <w:pStyle w:val="ListBullet"/>
      </w:pPr>
      <w:r>
        <w:rPr>
          <w:b w:val="0"/>
        </w:rPr>
        <w:t>Procédure de violation de données (notification CNIL sous 72 h)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RGPD-01   |   YEBA FORMATIONS — SIRET 814 622 262 00032 — Version 2026-10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34228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rmation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34228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8A6D1F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Registre des activités de traitement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