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Information des personnes et violations de données</w:t>
      </w:r>
    </w:p>
    <w:p>
      <w:r>
        <w:rPr>
          <w:b/>
          <w:color w:val="8A6D1F"/>
          <w:sz w:val="28"/>
        </w:rPr>
        <w:t>Articles 13, 14, 33 et 34 du RGPD</w:t>
      </w:r>
    </w:p>
    <w:p>
      <w:pPr>
        <w:pBdr>
          <w:bottom w:val="single" w:sz="18" w:space="1" w:color="C9A94D"/>
        </w:pBdr>
      </w:pPr>
    </w:p>
    <w:p>
      <w:pPr>
        <w:pStyle w:val="Heading2"/>
      </w:pPr>
      <w:r>
        <w:t>1. Mention d'information complète — stagiaires et candidats</w:t>
      </w:r>
    </w:p>
    <w:p>
      <w:r>
        <w:rPr>
          <w:b/>
        </w:rPr>
        <w:t>Qui ?</w:t>
      </w:r>
      <w:r>
        <w:rPr>
          <w:b w:val="0"/>
        </w:rPr>
        <w:t xml:space="preserve"> YEBA FORMATIONS, </w:t>
      </w:r>
      <w:r>
        <w:rPr>
          <w:b/>
          <w:i/>
          <w:color w:val="8A6D1F"/>
        </w:rPr>
        <w:t>[À COMPLÉTER : adresse du siège si différente du lieu de formation]</w:t>
      </w:r>
      <w:r>
        <w:rPr>
          <w:b w:val="0"/>
        </w:rPr>
        <w:t xml:space="preserve">, responsable de traitement. Contact : </w:t>
      </w:r>
      <w:r>
        <w:rPr>
          <w:b/>
          <w:i/>
          <w:color w:val="8A6D1F"/>
        </w:rPr>
        <w:t>[À COMPLÉTER : e-mail dédié aux données personnelles]</w:t>
      </w:r>
      <w:r>
        <w:rPr>
          <w:b w:val="0"/>
        </w:rPr>
        <w:t>.</w:t>
      </w:r>
    </w:p>
    <w:p>
      <w:r>
        <w:rPr>
          <w:b/>
        </w:rPr>
        <w:t>Pourquoi ?</w:t>
      </w:r>
      <w:r>
        <w:rPr>
          <w:b w:val="0"/>
        </w:rPr>
        <w:t xml:space="preserve"> Étudier votre candidature, organiser votre formation et votre examen, suivre votre présence et vos progrès, répondre aux obligations envers les financeurs, le ministère du Travail et l'auditeur Qualiopi, mesurer l'insertion à 6 mois.</w:t>
      </w:r>
    </w:p>
    <w:p>
      <w:r>
        <w:rPr>
          <w:b/>
        </w:rPr>
        <w:t>Sur quelle base ?</w:t>
      </w:r>
      <w:r>
        <w:rPr>
          <w:b w:val="0"/>
        </w:rPr>
        <w:t xml:space="preserve"> Mesures précontractuelles et contrat ; obligations légales ; votre consentement pour l'image et les données de santé.</w:t>
      </w:r>
    </w:p>
    <w:p>
      <w:r>
        <w:rPr>
          <w:b/>
        </w:rPr>
        <w:t>Qui reçoit vos données ?</w:t>
      </w:r>
      <w:r>
        <w:rPr>
          <w:b w:val="0"/>
        </w:rPr>
        <w:t xml:space="preserve"> L'équipe pédagogique ; selon votre situation : Caisse des Dépôts (CPF), France Travail, Mission Locale, Région Réunion, OPCO, DEETS, jury et responsable de session du titre ; l'entreprise d'accueil (identité et convention uniquement).</w:t>
      </w:r>
    </w:p>
    <w:p>
      <w:r>
        <w:rPr>
          <w:b/>
        </w:rPr>
        <w:t>Combien de temps ?</w:t>
      </w:r>
      <w:r>
        <w:rPr>
          <w:b w:val="0"/>
        </w:rPr>
        <w:t xml:space="preserve"> Voir la politique de conservation. </w:t>
      </w:r>
      <w:r>
        <w:rPr>
          <w:b/>
        </w:rPr>
        <w:t>Hors UE ?</w:t>
      </w:r>
      <w:r>
        <w:rPr>
          <w:b w:val="0"/>
        </w:rPr>
        <w:t xml:space="preserve"> Non : nos outils sont choisis pour héberger les données dans l'Union européenne.</w:t>
      </w:r>
    </w:p>
    <w:p>
      <w:r>
        <w:rPr>
          <w:b/>
        </w:rPr>
        <w:t>Vos droits :</w:t>
      </w:r>
      <w:r>
        <w:rPr>
          <w:b w:val="0"/>
        </w:rPr>
        <w:t xml:space="preserve"> accès, rectification, effacement, limitation, opposition, portabilité, retrait du consentement, directives post-mortem. Réclamation possible auprès de la CNIL.</w:t>
      </w:r>
    </w:p>
    <w:p>
      <w:r>
        <w:rPr>
          <w:b/>
        </w:rPr>
        <w:t>Intelligence artificielle :</w:t>
      </w:r>
      <w:r>
        <w:rPr>
          <w:b w:val="0"/>
        </w:rPr>
        <w:t xml:space="preserve"> aucune décision sur votre admission, votre évaluation ou votre parcours n'est prise par une IA. Les formateurs peuvent utiliser des outils d'IA pour préparer des supports, sans y saisir vos données.</w:t>
      </w:r>
    </w:p>
    <w:p>
      <w:pPr>
        <w:pStyle w:val="Heading2"/>
      </w:pPr>
      <w:r>
        <w:t>2. Mention courte — formulaire de prospect (site ou salon)</w:t>
      </w:r>
    </w:p>
    <w:p>
      <w:r>
        <w:rPr>
          <w:b w:val="0"/>
        </w:rPr>
        <w:t xml:space="preserve">Vos coordonnées servent uniquement à vous recontacter au sujet de nos formations. Conservation : 3 ans après notre dernier échange. Droits : </w:t>
      </w:r>
      <w:r>
        <w:rPr>
          <w:b/>
          <w:i/>
          <w:color w:val="8A6D1F"/>
        </w:rPr>
        <w:t>[À COMPLÉTER : e-mail dédié aux données personnelles]</w:t>
      </w:r>
      <w:r>
        <w:rPr>
          <w:b w:val="0"/>
        </w:rPr>
        <w:t>.</w:t>
      </w:r>
    </w:p>
    <w:p>
      <w:pPr>
        <w:pStyle w:val="Heading2"/>
      </w:pPr>
      <w:r>
        <w:t>3. Politique de conservation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Document / donnée</w:t>
            </w:r>
          </w:p>
        </w:tc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Durée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Justification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Candidature non retenue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2 ans après le dernier contact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Recommandation CNIL (recrutement / candidature)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Dossier stagiaire (inscription, émargements, évaluations, attestations)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 xml:space="preserve">Fin de formation + 5 ans </w:t>
            </w:r>
            <w:r>
              <w:rPr>
                <w:b/>
                <w:i/>
                <w:color w:val="8A6D1F"/>
                <w:sz w:val="22"/>
              </w:rPr>
              <w:t>[À VÉRIFIER : durée plus longue si financement FSE+ ou exigence du financeur]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Preuves pour contrôles DEETS, financeurs, Qualiopi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Pièces comptables et factures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10 ans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Art. L.123-22 du code de commerce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Dossier handicap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Fin du parcours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Minimisation (art. 5 RGPD)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Prospects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3 ans après le dernier contact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Référentiel CNIL gestion commerciale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Réponses individuelles aux enquêtes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2 ans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Choix de l'organisme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Vidéos pédagogiques de mises en situation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Fin de la session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Consentement, usage interne</w:t>
            </w:r>
          </w:p>
        </w:tc>
      </w:tr>
    </w:tbl>
    <w:p/>
    <w:p>
      <w:pPr>
        <w:pStyle w:val="Heading2"/>
      </w:pPr>
      <w:r>
        <w:t>4. Procédure en cas de violation de données</w:t>
      </w:r>
    </w:p>
    <w:p>
      <w:pPr>
        <w:ind w:left="454" w:hanging="454"/>
      </w:pPr>
      <w:r>
        <w:rPr>
          <w:b/>
          <w:color w:val="1B3A6B"/>
        </w:rPr>
        <w:t xml:space="preserve">1.  </w:t>
      </w:r>
      <w:r>
        <w:rPr>
          <w:b w:val="0"/>
        </w:rPr>
        <w:t>Constater et contenir (changer les mots de passe, isoler l'appareil, révoquer le lien partagé)</w:t>
      </w:r>
    </w:p>
    <w:p>
      <w:pPr>
        <w:ind w:left="454" w:hanging="454"/>
      </w:pPr>
      <w:r>
        <w:rPr>
          <w:b/>
          <w:color w:val="1B3A6B"/>
        </w:rPr>
        <w:t xml:space="preserve">2.  </w:t>
      </w:r>
      <w:r>
        <w:rPr>
          <w:b w:val="0"/>
        </w:rPr>
        <w:t>Évaluer le risque pour les personnes (type de données, volume, conséquences)</w:t>
      </w:r>
    </w:p>
    <w:p>
      <w:pPr>
        <w:ind w:left="454" w:hanging="454"/>
      </w:pPr>
      <w:r>
        <w:rPr>
          <w:b/>
          <w:color w:val="1B3A6B"/>
        </w:rPr>
        <w:t xml:space="preserve">3.  </w:t>
      </w:r>
      <w:r>
        <w:rPr>
          <w:b w:val="0"/>
        </w:rPr>
        <w:t>Notifier la CNIL dans les 72 heures si risque (téléservice CNIL)</w:t>
      </w:r>
    </w:p>
    <w:p>
      <w:pPr>
        <w:ind w:left="454" w:hanging="454"/>
      </w:pPr>
      <w:r>
        <w:rPr>
          <w:b/>
          <w:color w:val="1B3A6B"/>
        </w:rPr>
        <w:t xml:space="preserve">4.  </w:t>
      </w:r>
      <w:r>
        <w:rPr>
          <w:b w:val="0"/>
        </w:rPr>
        <w:t>Informer les personnes sans délai si risque élevé</w:t>
      </w:r>
    </w:p>
    <w:p>
      <w:pPr>
        <w:ind w:left="454" w:hanging="454"/>
      </w:pPr>
      <w:r>
        <w:rPr>
          <w:b/>
          <w:color w:val="1B3A6B"/>
        </w:rPr>
        <w:t xml:space="preserve">5.  </w:t>
      </w:r>
      <w:r>
        <w:rPr>
          <w:b w:val="0"/>
        </w:rPr>
        <w:t>Consigner l'incident dans le registre des violations, même sans notification</w:t>
      </w:r>
    </w:p>
    <w:p>
      <w:pPr>
        <w:ind w:left="454" w:hanging="454"/>
      </w:pPr>
      <w:r>
        <w:rPr>
          <w:b/>
          <w:color w:val="1B3A6B"/>
        </w:rPr>
        <w:t xml:space="preserve">6.  </w:t>
      </w:r>
      <w:r>
        <w:rPr>
          <w:b w:val="0"/>
        </w:rPr>
        <w:t>Corriger la cause et sensibiliser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984"/>
        <w:gridCol w:w="1020"/>
        <w:gridCol w:w="1814"/>
        <w:gridCol w:w="1984"/>
      </w:tblGrid>
      <w:tr>
        <w:trPr>
          <w:tblHeader w:val="true"/>
        </w:trPr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Nature</w:t>
            </w:r>
          </w:p>
        </w:tc>
        <w:tc>
          <w:tcPr>
            <w:tcW w:type="dxa" w:w="198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Données / personnes</w:t>
            </w:r>
          </w:p>
        </w:tc>
        <w:tc>
          <w:tcPr>
            <w:tcW w:type="dxa" w:w="102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Risque</w:t>
            </w:r>
          </w:p>
        </w:tc>
        <w:tc>
          <w:tcPr>
            <w:tcW w:type="dxa" w:w="181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Notification CNIL</w:t>
            </w:r>
          </w:p>
        </w:tc>
        <w:tc>
          <w:tcPr>
            <w:tcW w:type="dxa" w:w="198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Mesures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rPr>
          <w:cantSplit w:val="true"/>
        </w:trPr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701"/>
            <w:shd w:val="clear" w:color="auto" w:fill="E8EEF7"/>
          </w:tcPr>
          <w:p>
            <w:r/>
          </w:p>
        </w:tc>
        <w:tc>
          <w:tcPr>
            <w:tcW w:type="dxa" w:w="1984"/>
            <w:shd w:val="clear" w:color="auto" w:fill="E8EEF7"/>
          </w:tcPr>
          <w:p>
            <w:r/>
          </w:p>
        </w:tc>
        <w:tc>
          <w:tcPr>
            <w:tcW w:type="dxa" w:w="1020"/>
            <w:shd w:val="clear" w:color="auto" w:fill="E8EEF7"/>
          </w:tcPr>
          <w:p>
            <w:r/>
          </w:p>
        </w:tc>
        <w:tc>
          <w:tcPr>
            <w:tcW w:type="dxa" w:w="1814"/>
            <w:shd w:val="clear" w:color="auto" w:fill="E8EEF7"/>
          </w:tcPr>
          <w:p>
            <w:r/>
          </w:p>
        </w:tc>
        <w:tc>
          <w:tcPr>
            <w:tcW w:type="dxa" w:w="198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rPr>
          <w:cantSplit w:val="true"/>
        </w:trPr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701"/>
            <w:shd w:val="clear" w:color="auto" w:fill="E8EEF7"/>
          </w:tcPr>
          <w:p>
            <w:r/>
          </w:p>
        </w:tc>
        <w:tc>
          <w:tcPr>
            <w:tcW w:type="dxa" w:w="1984"/>
            <w:shd w:val="clear" w:color="auto" w:fill="E8EEF7"/>
          </w:tcPr>
          <w:p>
            <w:r/>
          </w:p>
        </w:tc>
        <w:tc>
          <w:tcPr>
            <w:tcW w:type="dxa" w:w="1020"/>
            <w:shd w:val="clear" w:color="auto" w:fill="E8EEF7"/>
          </w:tcPr>
          <w:p>
            <w:r/>
          </w:p>
        </w:tc>
        <w:tc>
          <w:tcPr>
            <w:tcW w:type="dxa" w:w="1814"/>
            <w:shd w:val="clear" w:color="auto" w:fill="E8EEF7"/>
          </w:tcPr>
          <w:p>
            <w:r/>
          </w:p>
        </w:tc>
        <w:tc>
          <w:tcPr>
            <w:tcW w:type="dxa" w:w="1984"/>
            <w:shd w:val="clear" w:color="auto" w:fill="E8EEF7"/>
          </w:tcPr>
          <w:p>
            <w:r/>
          </w:p>
        </w:tc>
      </w:tr>
    </w:tbl>
    <w:p/>
    <w:p>
      <w:pPr>
        <w:pStyle w:val="Heading2"/>
      </w:pPr>
      <w:r>
        <w:t>5. Clause type pour les formateurs indépendants (sous-traitance, art. 28)</w:t>
      </w:r>
    </w:p>
    <w:p>
      <w:r>
        <w:rPr>
          <w:b w:val="0"/>
        </w:rPr>
        <w:t>Le formateur traite les données des stagiaires uniquement pour les besoins de la mission, sur instruction documentée de l'organisme ; il garantit leur confidentialité, n'utilise pas d'outil d'IA non validé avec ces données, ne les conserve pas après la mission, aide l'organisme à répondre aux demandes de droits, signale toute violation sous 24 h et permet les audits.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RGPD-02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des personnes et violations de données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