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08</w:t>
      </w:r>
    </w:p>
    <w:p>
      <w:pPr>
        <w:spacing w:after="160"/>
      </w:pPr>
      <w:r>
        <w:rPr>
          <w:rFonts w:ascii="Montserrat" w:cs="Montserrat" w:eastAsia="Montserrat" w:hAnsi="Montserrat"/>
          <w:b/>
          <w:bCs/>
          <w:color w:val="1B3A6B"/>
          <w:sz w:val="32"/>
          <w:szCs w:val="32"/>
        </w:rPr>
        <w:t xml:space="preserve">Notice — Mixité des métiers et égalité entre les femmes et les hommes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Mesures mises en œuvre et actions entreprises pour favoriser la mixité des métiers, l’égalité entre les femmes et les hommes et prévenir le harcèlement et les agissements sexistes.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 — +262 693 32 24 45 — yebaformations@gmail.com</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3 du 30/10/2026</w:t>
            </w:r>
          </w:p>
        </w:tc>
      </w:tr>
    </w:tbl>
    <w:p>
      <w:pPr>
        <w:spacing w:after="80"/>
      </w:pPr>
    </w:p>
    <w:p>
      <w:pPr>
        <w:pStyle w:val="Heading1"/>
        <w:keepNext/>
        <w:spacing w:after="140" w:before="300"/>
      </w:pPr>
      <w:r>
        <w:rPr>
          <w:rFonts w:ascii="Montserrat" w:cs="Montserrat" w:eastAsia="Montserrat" w:hAnsi="Montserrat"/>
        </w:rPr>
        <w:t xml:space="preserve">1. Cadre et constat</w:t>
      </w:r>
    </w:p>
    <w:p>
      <w:pPr>
        <w:spacing w:after="120" w:line="288"/>
        <w:jc w:val="both"/>
      </w:pPr>
      <w:r>
        <w:rPr>
          <w:rFonts w:ascii="Inter" w:cs="Inter" w:eastAsia="Inter" w:hAnsi="Inter"/>
        </w:rPr>
        <w:t xml:space="preserve">L’article L.6231-2 du Code du travail demande aux CFA de favoriser la mixité au sein de leurs structures, de sensibiliser formateurs, maîtres d’apprentissage et apprentis à l’égalité entre les femmes et les hommes ainsi qu’à la prévention du harcèlement sexuel, des agissements sexistes et du harcèlement moral, et de lutter contre la répartition sexuée des métiers.</w:t>
      </w:r>
    </w:p>
    <w:p>
      <w:pPr>
        <w:spacing w:after="120" w:line="288"/>
        <w:jc w:val="both"/>
      </w:pPr>
      <w:r>
        <w:rPr>
          <w:rFonts w:ascii="Inter" w:cs="Inter" w:eastAsia="Inter" w:hAnsi="Inter"/>
        </w:rPr>
        <w:t xml:space="preserve">Dans le commerce de détail, les équipes de vente sont largement féminines, alors que les postes d’encadrement et de direction de magasin restent plus souvent occupés par des hommes. Le titre Manager d’établissement marchand prépare précisément à ces fonctions d’encadrement : c’est un levier direct pour faire accéder davantage de femmes au management, et pour attirer des hommes vers des enseignes où ils sont peu présents. Les données réunionnaises seront intégrées au premier bilan annuel (</w:t>
      </w:r>
      <w:r>
        <w:rPr>
          <w:rFonts w:ascii="Inter" w:cs="Inter" w:eastAsia="Inter" w:hAnsi="Inter"/>
          <w:b/>
          <w:bCs/>
          <w:highlight w:val="yellow"/>
          <w:highlightCs w:val="yellow"/>
        </w:rPr>
        <w:t xml:space="preserve">[source : Carif-Oref Réunion / INSEE — à insérer]</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2. Plan d’action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00"/>
        <w:gridCol w:w="5400"/>
        <w:gridCol w:w="1838"/>
      </w:tblGrid>
      <w:tr>
        <w:trPr>
          <w:tblHeader/>
        </w:trPr>
        <w:tc>
          <w:tcPr>
            <w:tcW w:type="dxa" w:w="2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Axe</w:t>
            </w:r>
          </w:p>
        </w:tc>
        <w:tc>
          <w:tcPr>
            <w:tcW w:type="dxa" w:w="5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Actions</w:t>
            </w:r>
          </w:p>
        </w:tc>
        <w:tc>
          <w:tcPr>
            <w:tcW w:type="dxa" w:w="18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Calendrier</w:t>
            </w:r>
          </w:p>
        </w:tc>
      </w:tr>
      <w:tr>
        <w:trPr>
          <w:cantSplit w:val="false"/>
        </w:trPr>
        <w:tc>
          <w:tcPr>
            <w:tcW w:type="dxa" w:w="2400"/>
            <w:tcMar>
              <w:top w:type="dxa" w:w="60"/>
              <w:left w:type="dxa" w:w="90"/>
              <w:bottom w:type="dxa" w:w="60"/>
              <w:right w:type="dxa" w:w="90"/>
            </w:tcMar>
          </w:tcPr>
          <w:p>
            <w:pPr>
              <w:spacing w:after="40"/>
              <w:jc w:val="left"/>
            </w:pPr>
            <w:r>
              <w:rPr>
                <w:rFonts w:ascii="Inter" w:cs="Inter" w:eastAsia="Inter" w:hAnsi="Inter"/>
              </w:rPr>
              <w:t xml:space="preserve">Communication et recrutement</w:t>
            </w:r>
          </w:p>
        </w:tc>
        <w:tc>
          <w:tcPr>
            <w:tcW w:type="dxa" w:w="5400"/>
            <w:tcMar>
              <w:top w:type="dxa" w:w="60"/>
              <w:left w:type="dxa" w:w="90"/>
              <w:bottom w:type="dxa" w:w="60"/>
              <w:right w:type="dxa" w:w="90"/>
            </w:tcMar>
          </w:tcPr>
          <w:p>
            <w:pPr>
              <w:spacing w:after="40"/>
              <w:jc w:val="both"/>
            </w:pPr>
            <w:r>
              <w:rPr>
                <w:rFonts w:ascii="Inter" w:cs="Inter" w:eastAsia="Inter" w:hAnsi="Inter"/>
              </w:rPr>
              <w:t xml:space="preserve">Objectif : une promotion </w:t>
            </w:r>
            <w:r>
              <w:rPr>
                <w:rFonts w:ascii="Inter" w:cs="Inter" w:eastAsia="Inter" w:hAnsi="Inter"/>
                <w:b/>
                <w:bCs/>
              </w:rPr>
              <w:t xml:space="preserve">équilibrée, avec au moins 40 % de femmes et 40 % d’hommes</w:t>
            </w:r>
            <w:r>
              <w:rPr>
                <w:rFonts w:ascii="Inter" w:cs="Inter" w:eastAsia="Inter" w:hAnsi="Inter"/>
              </w:rPr>
              <w:t xml:space="preserve">, et une attention particulière aux candidatures féminines vers les postes d’encadrement.</w:t>
            </w:r>
          </w:p>
          <w:p>
            <w:pPr>
              <w:spacing w:after="40"/>
              <w:jc w:val="left"/>
            </w:pPr>
            <w:r>
              <w:rPr>
                <w:rFonts w:ascii="Inter" w:cs="Inter" w:eastAsia="Inter" w:hAnsi="Inter"/>
              </w:rPr>
              <w:t xml:space="preserve">Offres et supports rédigés de façon inclusive, avec des visuels représentant femmes et hommes dans chaque métier.</w:t>
            </w:r>
          </w:p>
          <w:p>
            <w:pPr>
              <w:spacing w:after="40"/>
              <w:jc w:val="left"/>
            </w:pPr>
            <w:r>
              <w:rPr>
                <w:rFonts w:ascii="Inter" w:cs="Inter" w:eastAsia="Inter" w:hAnsi="Inter"/>
              </w:rPr>
              <w:t xml:space="preserve">Témoignages d’apprenties et d’apprentis dans des métiers où leur sexe est minoritaire.</w:t>
            </w:r>
          </w:p>
          <w:p>
            <w:pPr>
              <w:spacing w:after="40"/>
              <w:jc w:val="left"/>
            </w:pPr>
            <w:r>
              <w:rPr>
                <w:rFonts w:ascii="Inter" w:cs="Inter" w:eastAsia="Inter" w:hAnsi="Inter"/>
              </w:rPr>
              <w:t xml:space="preserve">Recrutement sur des critères objectifs et identiques (grille d’entretien commune).</w:t>
            </w:r>
          </w:p>
        </w:tc>
        <w:tc>
          <w:tcPr>
            <w:tcW w:type="dxa" w:w="1838"/>
            <w:tcMar>
              <w:top w:type="dxa" w:w="60"/>
              <w:left w:type="dxa" w:w="90"/>
              <w:bottom w:type="dxa" w:w="60"/>
              <w:right w:type="dxa" w:w="90"/>
            </w:tcMar>
          </w:tcPr>
          <w:p>
            <w:pPr>
              <w:spacing w:after="40"/>
              <w:jc w:val="left"/>
            </w:pPr>
            <w:r>
              <w:rPr>
                <w:rFonts w:ascii="Inter" w:cs="Inter" w:eastAsia="Inter" w:hAnsi="Inter"/>
              </w:rPr>
              <w:t xml:space="preserve">Dès la première campagne</w:t>
            </w:r>
          </w:p>
        </w:tc>
      </w:tr>
      <w:tr>
        <w:trPr>
          <w:cantSplit/>
        </w:trPr>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Sensibilisation des apprentis</w:t>
            </w:r>
          </w:p>
        </w:tc>
        <w:tc>
          <w:tcPr>
            <w:tcW w:type="dxa" w:w="5400"/>
            <w:shd w:fill="EEF1F6" w:color="auto" w:val="clear"/>
            <w:tcMar>
              <w:top w:type="dxa" w:w="60"/>
              <w:left w:type="dxa" w:w="90"/>
              <w:bottom w:type="dxa" w:w="60"/>
              <w:right w:type="dxa" w:w="90"/>
            </w:tcMar>
          </w:tcPr>
          <w:p>
            <w:pPr>
              <w:spacing w:after="40"/>
              <w:jc w:val="both"/>
            </w:pPr>
            <w:r>
              <w:rPr>
                <w:rFonts w:ascii="Inter" w:cs="Inter" w:eastAsia="Inter" w:hAnsi="Inter"/>
              </w:rPr>
              <w:t xml:space="preserve">Atelier de 3 heures en début de formation : stéréotypes, égalité professionnelle, harcèlement sexuel et agissements sexistes, recours possibles.</w:t>
            </w:r>
          </w:p>
          <w:p>
            <w:pPr>
              <w:spacing w:after="40"/>
              <w:jc w:val="both"/>
            </w:pPr>
            <w:r>
              <w:rPr>
                <w:rFonts w:ascii="Inter" w:cs="Inter" w:eastAsia="Inter" w:hAnsi="Inter"/>
              </w:rPr>
              <w:t xml:space="preserve">Jeu de rôle « Et si c’était l’inverse ? » dans le CCP 1 (management d’équipe) : répartition des tâches, recrutement, évolution professionnelle.</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Mois 1, puis rappel au mois 6</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Sensibilisation des formateurs et maîtres d’apprentissage</w:t>
            </w:r>
          </w:p>
        </w:tc>
        <w:tc>
          <w:tcPr>
            <w:tcW w:type="dxa" w:w="5400"/>
            <w:tcMar>
              <w:top w:type="dxa" w:w="60"/>
              <w:left w:type="dxa" w:w="90"/>
              <w:bottom w:type="dxa" w:w="60"/>
              <w:right w:type="dxa" w:w="90"/>
            </w:tcMar>
          </w:tcPr>
          <w:p>
            <w:pPr>
              <w:spacing w:after="40"/>
              <w:jc w:val="left"/>
            </w:pPr>
            <w:r>
              <w:rPr>
                <w:rFonts w:ascii="Inter" w:cs="Inter" w:eastAsia="Inter" w:hAnsi="Inter"/>
              </w:rPr>
              <w:t xml:space="preserve">Module « Égalité et prévention des violences sexistes et sexuelles » inclus dans la formation des maîtres d’apprentissage (pièce n° 17).</w:t>
            </w:r>
          </w:p>
          <w:p>
            <w:pPr>
              <w:spacing w:after="40"/>
              <w:jc w:val="left"/>
            </w:pPr>
            <w:r>
              <w:rPr>
                <w:rFonts w:ascii="Inter" w:cs="Inter" w:eastAsia="Inter" w:hAnsi="Inter"/>
              </w:rPr>
              <w:t xml:space="preserve">Point annuel de l’équipe pédagogique sur les pratiques (prise de parole, répartition des rôles en jeu de rôle, évaluation).</w:t>
            </w:r>
          </w:p>
        </w:tc>
        <w:tc>
          <w:tcPr>
            <w:tcW w:type="dxa" w:w="1838"/>
            <w:tcMar>
              <w:top w:type="dxa" w:w="60"/>
              <w:left w:type="dxa" w:w="90"/>
              <w:bottom w:type="dxa" w:w="60"/>
              <w:right w:type="dxa" w:w="90"/>
            </w:tcMar>
          </w:tcPr>
          <w:p>
            <w:pPr>
              <w:spacing w:after="40"/>
              <w:jc w:val="left"/>
            </w:pPr>
            <w:r>
              <w:rPr>
                <w:rFonts w:ascii="Inter" w:cs="Inter" w:eastAsia="Inter" w:hAnsi="Inter"/>
              </w:rPr>
              <w:t xml:space="preserve">Annuel</w:t>
            </w:r>
          </w:p>
        </w:tc>
      </w:tr>
      <w:tr>
        <w:trPr>
          <w:cantSplit w:val="false"/>
        </w:trPr>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Signalement et traitement</w:t>
            </w:r>
          </w:p>
        </w:tc>
        <w:tc>
          <w:tcPr>
            <w:tcW w:type="dxa" w:w="5400"/>
            <w:shd w:fill="EEF1F6" w:color="auto" w:val="clear"/>
            <w:tcMar>
              <w:top w:type="dxa" w:w="60"/>
              <w:left w:type="dxa" w:w="90"/>
              <w:bottom w:type="dxa" w:w="60"/>
              <w:right w:type="dxa" w:w="90"/>
            </w:tcMar>
          </w:tcPr>
          <w:p>
            <w:pPr>
              <w:spacing w:after="40"/>
              <w:jc w:val="both"/>
            </w:pPr>
            <w:r>
              <w:rPr>
                <w:rFonts w:ascii="Inter" w:cs="Inter" w:eastAsia="Inter" w:hAnsi="Inter"/>
                <w:b/>
                <w:bCs/>
              </w:rPr>
              <w:t xml:space="preserve">Référent égalité et harcèlement</w:t>
            </w:r>
            <w:r>
              <w:rPr>
                <w:rFonts w:ascii="Inter" w:cs="Inter" w:eastAsia="Inter" w:hAnsi="Inter"/>
              </w:rPr>
              <w:t xml:space="preserve"> : Aurélien LUMEKA ; les apprentis peuvent aussi s’adresser à une personne extérieure à l’organisme </w:t>
            </w:r>
            <w:r>
              <w:rPr>
                <w:rFonts w:ascii="Inter" w:cs="Inter" w:eastAsia="Inter" w:hAnsi="Inter"/>
                <w:b/>
                <w:bCs/>
                <w:highlight w:val="yellow"/>
                <w:highlightCs w:val="yellow"/>
              </w:rPr>
              <w:t xml:space="preserve">[à désigner]</w:t>
            </w:r>
            <w:r>
              <w:rPr>
                <w:rFonts w:ascii="Inter" w:cs="Inter" w:eastAsia="Inter" w:hAnsi="Inter"/>
              </w:rPr>
              <w:t xml:space="preserve">.</w:t>
            </w:r>
          </w:p>
          <w:p>
            <w:pPr>
              <w:spacing w:after="40"/>
              <w:jc w:val="both"/>
            </w:pPr>
            <w:r>
              <w:rPr>
                <w:rFonts w:ascii="Inter" w:cs="Inter" w:eastAsia="Inter" w:hAnsi="Inter"/>
              </w:rPr>
              <w:t xml:space="preserve">Procédure de signalement confidentielle (entretien, courriel dédié), réponse sous 48 heures ouvrées, information des voies de recours (inspection du travail, Défenseur des droits, numéro national d’écoute).</w:t>
            </w:r>
          </w:p>
          <w:p>
            <w:pPr>
              <w:spacing w:after="40"/>
              <w:jc w:val="left"/>
            </w:pPr>
            <w:r>
              <w:rPr>
                <w:rFonts w:ascii="Inter" w:cs="Inter" w:eastAsia="Inter" w:hAnsi="Inter"/>
              </w:rPr>
              <w:t xml:space="preserve">Mesures de protection immédiate de la victime présumée au CFA.</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Permanent</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Suivi chiffré</w:t>
            </w:r>
          </w:p>
        </w:tc>
        <w:tc>
          <w:tcPr>
            <w:tcW w:type="dxa" w:w="5400"/>
            <w:tcMar>
              <w:top w:type="dxa" w:w="60"/>
              <w:left w:type="dxa" w:w="90"/>
              <w:bottom w:type="dxa" w:w="60"/>
              <w:right w:type="dxa" w:w="90"/>
            </w:tcMar>
          </w:tcPr>
          <w:p>
            <w:pPr>
              <w:spacing w:after="40"/>
              <w:jc w:val="left"/>
            </w:pPr>
            <w:r>
              <w:rPr>
                <w:rFonts w:ascii="Inter" w:cs="Inter" w:eastAsia="Inter" w:hAnsi="Inter"/>
              </w:rPr>
              <w:t xml:space="preserve">Indicateurs sexués : candidatures, admissions, contrats signés, ruptures, réussite, insertion.</w:t>
            </w:r>
          </w:p>
          <w:p>
            <w:pPr>
              <w:spacing w:after="40"/>
              <w:jc w:val="left"/>
            </w:pPr>
            <w:r>
              <w:rPr>
                <w:rFonts w:ascii="Inter" w:cs="Inter" w:eastAsia="Inter" w:hAnsi="Inter"/>
              </w:rPr>
              <w:t xml:space="preserve">Bilan annuel présenté dans le rapport d’activité.</w:t>
            </w:r>
          </w:p>
        </w:tc>
        <w:tc>
          <w:tcPr>
            <w:tcW w:type="dxa" w:w="1838"/>
            <w:tcMar>
              <w:top w:type="dxa" w:w="60"/>
              <w:left w:type="dxa" w:w="90"/>
              <w:bottom w:type="dxa" w:w="60"/>
              <w:right w:type="dxa" w:w="90"/>
            </w:tcMar>
          </w:tcPr>
          <w:p>
            <w:pPr>
              <w:spacing w:after="40"/>
              <w:jc w:val="left"/>
            </w:pPr>
            <w:r>
              <w:rPr>
                <w:rFonts w:ascii="Inter" w:cs="Inter" w:eastAsia="Inter" w:hAnsi="Inter"/>
              </w:rPr>
              <w:t xml:space="preserve">Annuel</w:t>
            </w:r>
          </w:p>
        </w:tc>
      </w:tr>
    </w:tbl>
    <w:p>
      <w:pPr>
        <w:spacing w:after="80"/>
      </w:pPr>
    </w:p>
    <w:p>
      <w:pPr>
        <w:pStyle w:val="Heading1"/>
        <w:keepNext/>
        <w:spacing w:after="140" w:before="300"/>
      </w:pPr>
      <w:r>
        <w:rPr>
          <w:rFonts w:ascii="Montserrat" w:cs="Montserrat" w:eastAsia="Montserrat" w:hAnsi="Montserrat"/>
        </w:rPr>
        <w:t xml:space="preserve">3. Actions engagées à la date du dossier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00"/>
        <w:gridCol w:w="5400"/>
        <w:gridCol w:w="2638"/>
      </w:tblGrid>
      <w:tr>
        <w:trPr>
          <w:tblHeader/>
        </w:trPr>
        <w:tc>
          <w:tcPr>
            <w:tcW w:type="dxa" w:w="1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Date</w:t>
            </w:r>
          </w:p>
        </w:tc>
        <w:tc>
          <w:tcPr>
            <w:tcW w:type="dxa" w:w="5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w:t>
            </w:r>
          </w:p>
        </w:tc>
        <w:tc>
          <w:tcPr>
            <w:tcW w:type="dxa" w:w="26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Preuve</w:t>
            </w:r>
          </w:p>
        </w:tc>
      </w:tr>
      <w:tr>
        <w:trPr>
          <w:cantSplit/>
        </w:trPr>
        <w:tc>
          <w:tcPr>
            <w:tcW w:type="dxa" w:w="16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[date]</w:t>
            </w:r>
          </w:p>
        </w:tc>
        <w:tc>
          <w:tcPr>
            <w:tcW w:type="dxa" w:w="54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[Rédaction de la charte égalité de YEBA FORMATIONS]</w:t>
            </w:r>
          </w:p>
        </w:tc>
        <w:tc>
          <w:tcPr>
            <w:tcW w:type="dxa" w:w="26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[Charte jointe]</w:t>
            </w:r>
          </w:p>
        </w:tc>
      </w:tr>
      <w:tr>
        <w:trPr>
          <w:cantSplit/>
        </w:trPr>
        <w:tc>
          <w:tcPr>
            <w:tcW w:type="dxa" w:w="16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[date]</w:t>
            </w:r>
          </w:p>
        </w:tc>
        <w:tc>
          <w:tcPr>
            <w:tcW w:type="dxa" w:w="54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[Désignation du référent égalité et harcèlement]</w:t>
            </w:r>
          </w:p>
        </w:tc>
        <w:tc>
          <w:tcPr>
            <w:tcW w:type="dxa" w:w="26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[Lettre de mission]</w:t>
            </w:r>
          </w:p>
        </w:tc>
      </w:tr>
    </w:tbl>
    <w:p>
      <w:pPr>
        <w:spacing w:after="80"/>
      </w:pP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indicateurs sexués sont produits de façon agrégée. Les signalements de harcèlement sont des données très sensibles : accès restreint au référent et à la direction, conservation limitée à la durée de la procédure augmentée des délais de recours (</w:t>
            </w:r>
            <w:r>
              <w:rPr>
                <w:rFonts w:ascii="Inter" w:cs="Inter" w:eastAsia="Inter" w:hAnsi="Inter"/>
                <w:b/>
                <w:bCs/>
                <w:highlight w:val="yellow"/>
                <w:highlightCs w:val="yellow"/>
              </w:rPr>
              <w:t xml:space="preserve">[durée à fixer]</w:t>
            </w:r>
            <w:r>
              <w:rPr>
                <w:rFonts w:ascii="Inter" w:cs="Inter" w:eastAsia="Inter" w:hAnsi="Inter"/>
              </w:rPr>
              <w:t xml:space="preserve">).</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08 — Notice — Mixité des métiers et égalité entre les femmes et les hommes</dc:title>
  <dc:creator>Aurélien LUMEKA</dc:creator>
  <cp:lastModifiedBy>Un-named</cp:lastModifiedBy>
  <cp:revision>1</cp:revision>
  <dcterms:created xsi:type="dcterms:W3CDTF">2026-10-30T04:06:10.883Z</dcterms:created>
  <dcterms:modified xsi:type="dcterms:W3CDTF">2026-10-30T04:06:10.883Z</dcterms:modified>
</cp:coreProperties>
</file>

<file path=docProps/custom.xml><?xml version="1.0" encoding="utf-8"?>
<Properties xmlns="http://schemas.openxmlformats.org/officeDocument/2006/custom-properties" xmlns:vt="http://schemas.openxmlformats.org/officeDocument/2006/docPropsVTypes"/>
</file>