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143000" cy="971550"/>
            <wp:effectExtent t="0" r="0" b="0" l="0"/>
            <wp:docPr id="1" name="logo" descr="Logo YEBA FORMATIONS" title="Logo YEBA 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971550"/>
                    </a:xfrm>
                    <a:prstGeom prst="rect">
                      <a:avLst/>
                    </a:prstGeom>
                  </pic:spPr>
                </pic:pic>
              </a:graphicData>
            </a:graphic>
          </wp:inline>
        </w:drawing>
      </w:r>
    </w:p>
    <w:p>
      <w:pPr>
        <w:pBdr>
          <w:bottom w:val="single" w:color="C9AB4C" w:sz="12" w:space="6"/>
        </w:pBdr>
        <w:spacing w:after="240"/>
      </w:pPr>
      <w:r>
        <w:rPr>
          <w:rFonts w:ascii="Inter" w:cs="Inter" w:eastAsia="Inter" w:hAnsi="Inter"/>
          <w:color w:val="4D4D4D"/>
          <w:sz w:val="20"/>
          <w:szCs w:val="20"/>
        </w:rPr>
        <w:t xml:space="preserve">Organisme de formation — Extension de la déclaration d’activité à la formation par apprentissage</w:t>
      </w:r>
    </w:p>
    <w:p>
      <w:pPr>
        <w:spacing w:after="60"/>
      </w:pPr>
      <w:r>
        <w:rPr>
          <w:rFonts w:ascii="Montserrat" w:cs="Montserrat" w:eastAsia="Montserrat" w:hAnsi="Montserrat"/>
          <w:b/>
          <w:bCs/>
          <w:color w:val="4D4D4D"/>
          <w:sz w:val="24"/>
          <w:szCs w:val="24"/>
        </w:rPr>
        <w:t xml:space="preserve">Pièce n° 10</w:t>
      </w:r>
    </w:p>
    <w:p>
      <w:pPr>
        <w:spacing w:after="160"/>
      </w:pPr>
      <w:r>
        <w:rPr>
          <w:rFonts w:ascii="Montserrat" w:cs="Montserrat" w:eastAsia="Montserrat" w:hAnsi="Montserrat"/>
          <w:b/>
          <w:bCs/>
          <w:color w:val="1B3A6B"/>
          <w:sz w:val="32"/>
          <w:szCs w:val="32"/>
        </w:rPr>
        <w:t xml:space="preserve">Notice — Accompagnement des apprentis en situation de handicap</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Information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Destinataire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DEETS La Réunion — Service de contrôle de la formation professionnelle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Référence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Courriel de la DEETS du 20 octobre 2026 — instruction au titre de l’article L.6351-5 du Code du travail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Objet de la pièce</w:t>
            </w:r>
          </w:p>
        </w:tc>
        <w:tc>
          <w:tcPr>
            <w:tcW w:type="dxa" w:w="7038"/>
            <w:tcMar>
              <w:top w:type="dxa" w:w="60"/>
              <w:left w:type="dxa" w:w="90"/>
              <w:bottom w:type="dxa" w:w="60"/>
              <w:right w:type="dxa" w:w="90"/>
            </w:tcMar>
          </w:tcPr>
          <w:p>
            <w:pPr>
              <w:spacing w:after="40"/>
              <w:jc w:val="left"/>
            </w:pPr>
            <w:r>
              <w:rPr>
                <w:rFonts w:ascii="Inter" w:cs="Inter" w:eastAsia="Inter" w:hAnsi="Inter"/>
              </w:rPr>
              <w:t xml:space="preserve">Organisation de l’accueil, de la compensation et du suivi des apprentis en situation de handicap ; justificatifs associés.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Organisme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YEBA FORMATIONS — SIRET 814 622 262 00032 — NDA 04973676397 — UAI 9742022E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Lieu de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7 rue Henri Cornu, Immeuble Rodrigue 2, Technopole Réunion / Technor, 97490 Sainte-Clotilde (Saint-Denis)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Certification Qualiopi</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n° 25FOR02027.1 (actions de formation). Extension à la catégorie « actions de formation par apprentissage » engagée : l’audit d’extension sera réalisé dès l’entrée en formation du premier apprenti (courriel de l’organisme certificateur du 14/10/2026).</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Responsable</w:t>
            </w:r>
          </w:p>
        </w:tc>
        <w:tc>
          <w:tcPr>
            <w:tcW w:type="dxa" w:w="7038"/>
            <w:tcMar>
              <w:top w:type="dxa" w:w="60"/>
              <w:left w:type="dxa" w:w="90"/>
              <w:bottom w:type="dxa" w:w="60"/>
              <w:right w:type="dxa" w:w="90"/>
            </w:tcMar>
          </w:tcPr>
          <w:p>
            <w:pPr>
              <w:spacing w:after="40"/>
              <w:jc w:val="left"/>
            </w:pPr>
            <w:r>
              <w:rPr>
                <w:rFonts w:ascii="Inter" w:cs="Inter" w:eastAsia="Inter" w:hAnsi="Inter"/>
              </w:rPr>
              <w:t xml:space="preserve">Aurélien LUMEKA, Directeur — +262 693 32 24 45 — yebaformations@gmail.com</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Version</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Version 3 du 30/10/2026</w:t>
            </w:r>
          </w:p>
        </w:tc>
      </w:tr>
    </w:tbl>
    <w:p>
      <w:pPr>
        <w:spacing w:after="80"/>
      </w:pPr>
    </w:p>
    <w:p>
      <w:pPr>
        <w:pStyle w:val="Heading1"/>
        <w:keepNext/>
        <w:spacing w:after="140" w:before="300"/>
      </w:pPr>
      <w:r>
        <w:rPr>
          <w:rFonts w:ascii="Montserrat" w:cs="Montserrat" w:eastAsia="Montserrat" w:hAnsi="Montserrat"/>
        </w:rPr>
        <w:t xml:space="preserve">1. Référent handicap</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Élément</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Description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Référent</w:t>
            </w:r>
          </w:p>
        </w:tc>
        <w:tc>
          <w:tcPr>
            <w:tcW w:type="dxa" w:w="7038"/>
            <w:tcMar>
              <w:top w:type="dxa" w:w="60"/>
              <w:left w:type="dxa" w:w="90"/>
              <w:bottom w:type="dxa" w:w="60"/>
              <w:right w:type="dxa" w:w="90"/>
            </w:tcMar>
          </w:tcPr>
          <w:p>
            <w:pPr>
              <w:spacing w:after="40"/>
              <w:jc w:val="both"/>
            </w:pPr>
            <w:r>
              <w:rPr>
                <w:rFonts w:ascii="Inter" w:cs="Inter" w:eastAsia="Inter" w:hAnsi="Inter"/>
              </w:rPr>
              <w:t xml:space="preserve">Aurélien LUMEKA, titulaire d’une formation de </w:t>
            </w:r>
            <w:r>
              <w:rPr>
                <w:rFonts w:ascii="Inter" w:cs="Inter" w:eastAsia="Inter" w:hAnsi="Inter"/>
                <w:b/>
                <w:bCs/>
              </w:rPr>
              <w:t xml:space="preserve">Référent handicap en organisme de formation</w:t>
            </w:r>
            <w:r>
              <w:rPr>
                <w:rFonts w:ascii="Inter" w:cs="Inter" w:eastAsia="Inter" w:hAnsi="Inter"/>
              </w:rPr>
              <w:t xml:space="preserve"> (</w:t>
            </w:r>
            <w:r>
              <w:rPr>
                <w:rFonts w:ascii="Inter" w:cs="Inter" w:eastAsia="Inter" w:hAnsi="Inter"/>
                <w:b/>
                <w:bCs/>
                <w:highlight w:val="yellow"/>
                <w:highlightCs w:val="yellow"/>
              </w:rPr>
              <w:t xml:space="preserve">[intitulé exact, organisme, date — attestation jointe]</w:t>
            </w:r>
            <w:r>
              <w:rPr>
                <w:rFonts w:ascii="Inter" w:cs="Inter" w:eastAsia="Inter" w:hAnsi="Inter"/>
              </w:rPr>
              <w:t xml:space="preserv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Missions</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Accueil et écoute ; identification des besoins de compensation ; mise en place des aménagements ; lien avec l’employeur et les partenaires spécialisés ; suivi pendant tout le parcours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Contact</w:t>
            </w:r>
          </w:p>
        </w:tc>
        <w:tc>
          <w:tcPr>
            <w:tcW w:type="dxa" w:w="7038"/>
            <w:tcMar>
              <w:top w:type="dxa" w:w="60"/>
              <w:left w:type="dxa" w:w="90"/>
              <w:bottom w:type="dxa" w:w="60"/>
              <w:right w:type="dxa" w:w="90"/>
            </w:tcMar>
          </w:tcPr>
          <w:p>
            <w:pPr>
              <w:spacing w:after="40"/>
              <w:jc w:val="left"/>
            </w:pPr>
            <w:r>
              <w:rPr>
                <w:rFonts w:ascii="Inter" w:cs="Inter" w:eastAsia="Inter" w:hAnsi="Inter"/>
              </w:rPr>
              <w:t xml:space="preserve">+262 693 32 24 45 — yebaformations@gmail.com — affiché dans les locaux, sur le site internet et dans le livret d’accueil</w:t>
            </w:r>
          </w:p>
        </w:tc>
      </w:tr>
    </w:tbl>
    <w:p>
      <w:pPr>
        <w:spacing w:after="80"/>
      </w:pPr>
    </w:p>
    <w:p>
      <w:pPr>
        <w:spacing w:after="120" w:line="288"/>
        <w:jc w:val="both"/>
      </w:pPr>
      <w:r>
        <w:rPr>
          <w:rFonts w:ascii="Inter" w:cs="Inter" w:eastAsia="Inter" w:hAnsi="Inter"/>
        </w:rPr>
        <w:t xml:space="preserve">L’article L.6231-2 du Code du travail prévoit que chaque CFA comprend un référent chargé de l’intégration des personnes en situation de handicap. YEBA FORMATIONS satisfait déjà à cette exigence au titre de sa certification Qualiopi (indicateur 26 du référentiel national qualité).</w:t>
      </w:r>
    </w:p>
    <w:p>
      <w:pPr>
        <w:pStyle w:val="Heading1"/>
        <w:keepNext/>
        <w:spacing w:after="140" w:before="300"/>
      </w:pPr>
      <w:r>
        <w:rPr>
          <w:rFonts w:ascii="Montserrat" w:cs="Montserrat" w:eastAsia="Montserrat" w:hAnsi="Montserrat"/>
        </w:rPr>
        <w:t xml:space="preserve">2. Parcours d’accompagnement</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Étape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Actions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Information</w:t>
            </w:r>
          </w:p>
        </w:tc>
        <w:tc>
          <w:tcPr>
            <w:tcW w:type="dxa" w:w="7038"/>
            <w:tcMar>
              <w:top w:type="dxa" w:w="60"/>
              <w:left w:type="dxa" w:w="90"/>
              <w:bottom w:type="dxa" w:w="60"/>
              <w:right w:type="dxa" w:w="90"/>
            </w:tcMar>
          </w:tcPr>
          <w:p>
            <w:pPr>
              <w:spacing w:after="40"/>
              <w:jc w:val="both"/>
            </w:pPr>
            <w:r>
              <w:rPr>
                <w:rFonts w:ascii="Inter" w:cs="Inter" w:eastAsia="Inter" w:hAnsi="Inter"/>
              </w:rPr>
              <w:t xml:space="preserve">Mention systématique du référent handicap sur toutes les offres de formation ; questions ouvertes « Avez-vous besoin d’un aménagement ? » sans demander de diagnostic</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Entretien individuel</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Avec l’accord du jeune : besoins pour la formation, l’entreprise, les examens, les transports ; pas d’obligation de déclarer son handicap</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Plan d’accompagnement personnalisé</w:t>
            </w:r>
          </w:p>
        </w:tc>
        <w:tc>
          <w:tcPr>
            <w:tcW w:type="dxa" w:w="7038"/>
            <w:tcMar>
              <w:top w:type="dxa" w:w="60"/>
              <w:left w:type="dxa" w:w="90"/>
              <w:bottom w:type="dxa" w:w="60"/>
              <w:right w:type="dxa" w:w="90"/>
            </w:tcMar>
          </w:tcPr>
          <w:p>
            <w:pPr>
              <w:spacing w:after="40"/>
              <w:jc w:val="both"/>
            </w:pPr>
            <w:r>
              <w:rPr>
                <w:rFonts w:ascii="Inter" w:cs="Inter" w:eastAsia="Inter" w:hAnsi="Inter"/>
              </w:rPr>
              <w:t xml:space="preserve">Aménagements pédagogiques (supports agrandis et contrastés, temps supplémentaire, pauses, documents numériques accessibles), matériels, organisationnels (rythme, emploi du temps)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Aménagements d’examen</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Demande auprès du certificateur selon ses règles, dans les délais requis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l’employeur</w:t>
            </w:r>
          </w:p>
        </w:tc>
        <w:tc>
          <w:tcPr>
            <w:tcW w:type="dxa" w:w="7038"/>
            <w:tcMar>
              <w:top w:type="dxa" w:w="60"/>
              <w:left w:type="dxa" w:w="90"/>
              <w:bottom w:type="dxa" w:w="60"/>
              <w:right w:type="dxa" w:w="90"/>
            </w:tcMar>
          </w:tcPr>
          <w:p>
            <w:pPr>
              <w:spacing w:after="40"/>
              <w:jc w:val="both"/>
            </w:pPr>
            <w:r>
              <w:rPr>
                <w:rFonts w:ascii="Inter" w:cs="Inter" w:eastAsia="Inter" w:hAnsi="Inter"/>
              </w:rPr>
              <w:t xml:space="preserve">Information sur les aides (Agefiph, adaptation du poste), avec l’accord de l’apprenti ; adaptation éventuelle de la durée du contrat selon les possibilités prévues par la réglementation (</w:t>
            </w:r>
            <w:r>
              <w:rPr>
                <w:rFonts w:ascii="Inter" w:cs="Inter" w:eastAsia="Inter" w:hAnsi="Inter"/>
                <w:b/>
                <w:bCs/>
                <w:highlight w:val="yellow"/>
                <w:highlightCs w:val="yellow"/>
              </w:rPr>
              <w:t xml:space="preserve">[à vérifier]</w:t>
            </w:r>
            <w:r>
              <w:rPr>
                <w:rFonts w:ascii="Inter" w:cs="Inter" w:eastAsia="Inter" w:hAnsi="Inter"/>
              </w:rPr>
              <w:t xml:space="preserv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Suivi</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Point avec le référent à chaque séquence au CFA ; révision du plan si besoin</w:t>
            </w:r>
          </w:p>
        </w:tc>
      </w:tr>
    </w:tbl>
    <w:p>
      <w:pPr>
        <w:spacing w:after="80"/>
      </w:pPr>
    </w:p>
    <w:p>
      <w:pPr>
        <w:pStyle w:val="Heading1"/>
        <w:keepNext/>
        <w:spacing w:after="140" w:before="300"/>
      </w:pPr>
      <w:r>
        <w:rPr>
          <w:rFonts w:ascii="Montserrat" w:cs="Montserrat" w:eastAsia="Montserrat" w:hAnsi="Montserrat"/>
        </w:rPr>
        <w:t xml:space="preserve">3. Partenaires ressources à La Réunion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200"/>
        <w:gridCol w:w="6438"/>
      </w:tblGrid>
      <w:tr>
        <w:trPr>
          <w:tblHeader/>
        </w:trPr>
        <w:tc>
          <w:tcPr>
            <w:tcW w:type="dxa" w:w="32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Partenaire</w:t>
            </w:r>
          </w:p>
        </w:tc>
        <w:tc>
          <w:tcPr>
            <w:tcW w:type="dxa" w:w="64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Rôle</w:t>
            </w:r>
          </w:p>
        </w:tc>
      </w:tr>
      <w:tr>
        <w:trPr>
          <w:cantSplit/>
        </w:trPr>
        <w:tc>
          <w:tcPr>
            <w:tcW w:type="dxa" w:w="3200"/>
            <w:tcMar>
              <w:top w:type="dxa" w:w="60"/>
              <w:left w:type="dxa" w:w="90"/>
              <w:bottom w:type="dxa" w:w="60"/>
              <w:right w:type="dxa" w:w="90"/>
            </w:tcMar>
          </w:tcPr>
          <w:p>
            <w:pPr>
              <w:spacing w:after="40"/>
              <w:jc w:val="left"/>
            </w:pPr>
            <w:r>
              <w:rPr>
                <w:rFonts w:ascii="Inter" w:cs="Inter" w:eastAsia="Inter" w:hAnsi="Inter"/>
              </w:rPr>
              <w:t xml:space="preserve">Agefiph (délégation régionale)</w:t>
            </w:r>
          </w:p>
        </w:tc>
        <w:tc>
          <w:tcPr>
            <w:tcW w:type="dxa" w:w="6438"/>
            <w:tcMar>
              <w:top w:type="dxa" w:w="60"/>
              <w:left w:type="dxa" w:w="90"/>
              <w:bottom w:type="dxa" w:w="60"/>
              <w:right w:type="dxa" w:w="90"/>
            </w:tcMar>
          </w:tcPr>
          <w:p>
            <w:pPr>
              <w:spacing w:after="40"/>
              <w:jc w:val="left"/>
            </w:pPr>
            <w:r>
              <w:rPr>
                <w:rFonts w:ascii="Inter" w:cs="Inter" w:eastAsia="Inter" w:hAnsi="Inter"/>
              </w:rPr>
              <w:t xml:space="preserve">Aides financières aux employeurs et aux apprentis ; appui ressources handicap formation</w:t>
            </w:r>
          </w:p>
        </w:tc>
      </w:tr>
      <w:tr>
        <w:trPr>
          <w:cantSplit/>
        </w:trPr>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rPr>
              <w:t xml:space="preserve">Cap emploi Réunion</w:t>
            </w:r>
          </w:p>
        </w:tc>
        <w:tc>
          <w:tcPr>
            <w:tcW w:type="dxa" w:w="6438"/>
            <w:shd w:fill="EEF1F6" w:color="auto" w:val="clear"/>
            <w:tcMar>
              <w:top w:type="dxa" w:w="60"/>
              <w:left w:type="dxa" w:w="90"/>
              <w:bottom w:type="dxa" w:w="60"/>
              <w:right w:type="dxa" w:w="90"/>
            </w:tcMar>
          </w:tcPr>
          <w:p>
            <w:pPr>
              <w:spacing w:after="40"/>
              <w:jc w:val="left"/>
            </w:pPr>
            <w:r>
              <w:rPr>
                <w:rFonts w:ascii="Inter" w:cs="Inter" w:eastAsia="Inter" w:hAnsi="Inter"/>
              </w:rPr>
              <w:t xml:space="preserve">Accompagnement vers l’emploi des personnes en situation de handicap</w:t>
            </w:r>
          </w:p>
        </w:tc>
      </w:tr>
      <w:tr>
        <w:trPr>
          <w:cantSplit/>
        </w:trPr>
        <w:tc>
          <w:tcPr>
            <w:tcW w:type="dxa" w:w="3200"/>
            <w:tcMar>
              <w:top w:type="dxa" w:w="60"/>
              <w:left w:type="dxa" w:w="90"/>
              <w:bottom w:type="dxa" w:w="60"/>
              <w:right w:type="dxa" w:w="90"/>
            </w:tcMar>
          </w:tcPr>
          <w:p>
            <w:pPr>
              <w:spacing w:after="40"/>
              <w:jc w:val="left"/>
            </w:pPr>
            <w:r>
              <w:rPr>
                <w:rFonts w:ascii="Inter" w:cs="Inter" w:eastAsia="Inter" w:hAnsi="Inter"/>
              </w:rPr>
              <w:t xml:space="preserve">MDPH de La Réunion</w:t>
            </w:r>
          </w:p>
        </w:tc>
        <w:tc>
          <w:tcPr>
            <w:tcW w:type="dxa" w:w="6438"/>
            <w:tcMar>
              <w:top w:type="dxa" w:w="60"/>
              <w:left w:type="dxa" w:w="90"/>
              <w:bottom w:type="dxa" w:w="60"/>
              <w:right w:type="dxa" w:w="90"/>
            </w:tcMar>
          </w:tcPr>
          <w:p>
            <w:pPr>
              <w:spacing w:after="40"/>
              <w:jc w:val="left"/>
            </w:pPr>
            <w:r>
              <w:rPr>
                <w:rFonts w:ascii="Inter" w:cs="Inter" w:eastAsia="Inter" w:hAnsi="Inter"/>
              </w:rPr>
              <w:t xml:space="preserve">Reconnaissance de la qualité de travailleur handicapé (RQTH), droits et prestations</w:t>
            </w:r>
          </w:p>
        </w:tc>
      </w:tr>
      <w:tr>
        <w:trPr>
          <w:cantSplit/>
        </w:trPr>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rPr>
              <w:t xml:space="preserve">Missions locales</w:t>
            </w:r>
          </w:p>
        </w:tc>
        <w:tc>
          <w:tcPr>
            <w:tcW w:type="dxa" w:w="6438"/>
            <w:shd w:fill="EEF1F6" w:color="auto" w:val="clear"/>
            <w:tcMar>
              <w:top w:type="dxa" w:w="60"/>
              <w:left w:type="dxa" w:w="90"/>
              <w:bottom w:type="dxa" w:w="60"/>
              <w:right w:type="dxa" w:w="90"/>
            </w:tcMar>
          </w:tcPr>
          <w:p>
            <w:pPr>
              <w:spacing w:after="40"/>
              <w:jc w:val="left"/>
            </w:pPr>
            <w:r>
              <w:rPr>
                <w:rFonts w:ascii="Inter" w:cs="Inter" w:eastAsia="Inter" w:hAnsi="Inter"/>
              </w:rPr>
              <w:t xml:space="preserve">Accompagnement global des jeunes de 16 à 25 ans</w:t>
            </w:r>
          </w:p>
        </w:tc>
      </w:tr>
      <w:tr>
        <w:trPr>
          <w:cantSplit/>
        </w:trPr>
        <w:tc>
          <w:tcPr>
            <w:tcW w:type="dxa" w:w="3200"/>
            <w:tcMar>
              <w:top w:type="dxa" w:w="60"/>
              <w:left w:type="dxa" w:w="90"/>
              <w:bottom w:type="dxa" w:w="60"/>
              <w:right w:type="dxa" w:w="90"/>
            </w:tcMar>
          </w:tcPr>
          <w:p>
            <w:pPr>
              <w:spacing w:after="40"/>
              <w:jc w:val="left"/>
            </w:pPr>
            <w:r>
              <w:rPr>
                <w:rFonts w:ascii="Inter" w:cs="Inter" w:eastAsia="Inter" w:hAnsi="Inter"/>
              </w:rPr>
              <w:t xml:space="preserve">OPCO compétent</w:t>
            </w:r>
          </w:p>
        </w:tc>
        <w:tc>
          <w:tcPr>
            <w:tcW w:type="dxa" w:w="6438"/>
            <w:tcMar>
              <w:top w:type="dxa" w:w="60"/>
              <w:left w:type="dxa" w:w="90"/>
              <w:bottom w:type="dxa" w:w="60"/>
              <w:right w:type="dxa" w:w="90"/>
            </w:tcMar>
          </w:tcPr>
          <w:p>
            <w:pPr>
              <w:spacing w:after="40"/>
              <w:jc w:val="left"/>
            </w:pPr>
            <w:r>
              <w:rPr>
                <w:rFonts w:ascii="Inter" w:cs="Inter" w:eastAsia="Inter" w:hAnsi="Inter"/>
              </w:rPr>
              <w:t xml:space="preserve">Majoration possible de la prise en charge du contrat pour un apprenti en situation de handicap (</w:t>
            </w:r>
            <w:r>
              <w:rPr>
                <w:rFonts w:ascii="Inter" w:cs="Inter" w:eastAsia="Inter" w:hAnsi="Inter"/>
                <w:b/>
                <w:bCs/>
                <w:highlight w:val="yellow"/>
                <w:highlightCs w:val="yellow"/>
              </w:rPr>
              <w:t xml:space="preserve">[montant et conditions à vérifier]</w:t>
            </w:r>
            <w:r>
              <w:rPr>
                <w:rFonts w:ascii="Inter" w:cs="Inter" w:eastAsia="Inter" w:hAnsi="Inter"/>
              </w:rPr>
              <w:t xml:space="preserve">)</w:t>
            </w:r>
          </w:p>
        </w:tc>
      </w:tr>
    </w:tbl>
    <w:p>
      <w:pPr>
        <w:spacing w:after="80"/>
      </w:pPr>
    </w:p>
    <w:p>
      <w:pPr>
        <w:pStyle w:val="Heading1"/>
        <w:keepNext/>
        <w:spacing w:after="140" w:before="300"/>
      </w:pPr>
      <w:r>
        <w:rPr>
          <w:rFonts w:ascii="Montserrat" w:cs="Montserrat" w:eastAsia="Montserrat" w:hAnsi="Montserrat"/>
        </w:rPr>
        <w:t xml:space="preserve">4. Accessibilité des locaux et des supports</w:t>
      </w:r>
    </w:p>
    <w:p>
      <w:pPr>
        <w:pStyle w:val="ListParagraph"/>
        <w:numPr>
          <w:ilvl w:val="0"/>
          <w:numId w:val="2"/>
        </w:numPr>
        <w:spacing w:after="60" w:line="276"/>
        <w:jc w:val="both"/>
      </w:pPr>
      <w:r>
        <w:rPr>
          <w:rFonts w:ascii="Inter" w:cs="Inter" w:eastAsia="Inter" w:hAnsi="Inter"/>
        </w:rPr>
        <w:t xml:space="preserve">Locaux : 7 rue Henri Cornu, Immeuble Rodrigue 2, Technopole Réunion / Technor (Sainte-Clotilde) — </w:t>
      </w:r>
      <w:r>
        <w:rPr>
          <w:rFonts w:ascii="Inter" w:cs="Inter" w:eastAsia="Inter" w:hAnsi="Inter"/>
          <w:b/>
          <w:bCs/>
        </w:rPr>
        <w:t xml:space="preserve">accessibles aux personnes à mobilité réduite</w:t>
      </w:r>
      <w:r>
        <w:rPr>
          <w:rFonts w:ascii="Inter" w:cs="Inter" w:eastAsia="Inter" w:hAnsi="Inter"/>
        </w:rPr>
        <w:t xml:space="preserve"> ; </w:t>
      </w:r>
      <w:r>
        <w:rPr>
          <w:rFonts w:ascii="Inter" w:cs="Inter" w:eastAsia="Inter" w:hAnsi="Inter"/>
          <w:b/>
          <w:bCs/>
        </w:rPr>
        <w:t xml:space="preserve">registre public d’accessibilité</w:t>
      </w:r>
      <w:r>
        <w:rPr>
          <w:rFonts w:ascii="Inter" w:cs="Inter" w:eastAsia="Inter" w:hAnsi="Inter"/>
        </w:rPr>
        <w:t xml:space="preserve"> disponible et joint en annexe.</w:t>
      </w:r>
    </w:p>
    <w:p>
      <w:pPr>
        <w:pStyle w:val="ListParagraph"/>
        <w:numPr>
          <w:ilvl w:val="0"/>
          <w:numId w:val="2"/>
        </w:numPr>
        <w:spacing w:after="60" w:line="276"/>
        <w:jc w:val="both"/>
      </w:pPr>
      <w:r>
        <w:rPr>
          <w:rFonts w:ascii="Inter" w:cs="Inter" w:eastAsia="Inter" w:hAnsi="Inter"/>
        </w:rPr>
        <w:t xml:space="preserve">Supports pédagogiques : police sans empattement, gros caractères, fort contraste, mots-clés plutôt que phrases longues, documents compatibles avec les lecteurs d’écran.</w:t>
      </w:r>
    </w:p>
    <w:p>
      <w:pPr>
        <w:pStyle w:val="Heading1"/>
        <w:keepNext/>
        <w:spacing w:after="140" w:before="300"/>
      </w:pPr>
      <w:r>
        <w:rPr>
          <w:rFonts w:ascii="Montserrat" w:cs="Montserrat" w:eastAsia="Montserrat" w:hAnsi="Montserrat"/>
        </w:rPr>
        <w:t xml:space="preserve">5. Justificatifs joints</w:t>
      </w:r>
    </w:p>
    <w:p>
      <w:pPr>
        <w:pStyle w:val="ListParagraph"/>
        <w:numPr>
          <w:ilvl w:val="0"/>
          <w:numId w:val="2"/>
        </w:numPr>
        <w:spacing w:after="60" w:line="276"/>
        <w:jc w:val="both"/>
      </w:pPr>
      <w:r>
        <w:rPr>
          <w:rFonts w:ascii="Inter" w:cs="Inter" w:eastAsia="Inter" w:hAnsi="Inter"/>
          <w:b/>
          <w:bCs/>
          <w:highlight w:val="yellow"/>
          <w:highlightCs w:val="yellow"/>
        </w:rPr>
        <w:t xml:space="preserve">[Attestation de formation « Référent handicap »]</w:t>
      </w:r>
    </w:p>
    <w:p>
      <w:pPr>
        <w:pStyle w:val="ListParagraph"/>
        <w:numPr>
          <w:ilvl w:val="0"/>
          <w:numId w:val="2"/>
        </w:numPr>
        <w:spacing w:after="60" w:line="276"/>
        <w:jc w:val="both"/>
      </w:pPr>
      <w:r>
        <w:rPr>
          <w:rFonts w:ascii="Inter" w:cs="Inter" w:eastAsia="Inter" w:hAnsi="Inter"/>
          <w:b/>
          <w:bCs/>
          <w:highlight w:val="yellow"/>
          <w:highlightCs w:val="yellow"/>
        </w:rPr>
        <w:t xml:space="preserve">[Lettre de mission du référent]</w:t>
      </w:r>
    </w:p>
    <w:p>
      <w:pPr>
        <w:pStyle w:val="ListParagraph"/>
        <w:numPr>
          <w:ilvl w:val="0"/>
          <w:numId w:val="2"/>
        </w:numPr>
        <w:spacing w:after="60" w:line="276"/>
        <w:jc w:val="both"/>
      </w:pPr>
      <w:r>
        <w:rPr>
          <w:rFonts w:ascii="Inter" w:cs="Inter" w:eastAsia="Inter" w:hAnsi="Inter"/>
        </w:rPr>
        <w:t xml:space="preserve">Registre public d’accessibilité des locaux</w:t>
      </w:r>
    </w:p>
    <w:p>
      <w:pPr>
        <w:pStyle w:val="ListParagraph"/>
        <w:numPr>
          <w:ilvl w:val="0"/>
          <w:numId w:val="2"/>
        </w:numPr>
        <w:spacing w:after="60" w:line="276"/>
        <w:jc w:val="both"/>
      </w:pPr>
      <w:r>
        <w:rPr>
          <w:rFonts w:ascii="Inter" w:cs="Inter" w:eastAsia="Inter" w:hAnsi="Inter"/>
          <w:b/>
          <w:bCs/>
          <w:highlight w:val="yellow"/>
          <w:highlightCs w:val="yellow"/>
        </w:rPr>
        <w:t xml:space="preserve">[Procédure d’accueil des personnes en situation de handicap (Qualiopi)]</w:t>
      </w:r>
    </w:p>
    <w:tbl>
      <w:tblPr>
        <w:tblW w:type="dxa" w:w="9638"/>
        <w:tblBorders>
          <w:top w:val="none" w:color="FFFFFF" w:sz="0"/>
          <w:left w:val="single" w:color="1B3A6B" w:sz="12"/>
          <w:bottom w:val="none" w:color="FFFFFF" w:sz="0"/>
          <w:right w:val="none" w:color="FFFFFF" w:sz="0"/>
          <w:insideH w:val="none" w:color="FFFFFF" w:sz="0"/>
          <w:insideV w:val="none" w:color="FFFFFF" w:sz="0"/>
        </w:tblBorders>
      </w:tblPr>
      <w:tblGrid>
        <w:gridCol w:w="9638"/>
      </w:tblGrid>
      <w:tr>
        <w:tc>
          <w:tcPr>
            <w:tcW w:type="dxa" w:w="9638"/>
            <w:shd w:fill="EEF1F6"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Conformité RGPD / IA Act</w:t>
            </w:r>
          </w:p>
          <w:p>
            <w:pPr>
              <w:spacing w:after="50"/>
              <w:jc w:val="both"/>
            </w:pPr>
            <w:r>
              <w:rPr>
                <w:rFonts w:ascii="Inter" w:cs="Inter" w:eastAsia="Inter" w:hAnsi="Inter"/>
                <w:b/>
                <w:bCs/>
              </w:rPr>
              <w:t xml:space="preserve">RGPD</w:t>
            </w:r>
            <w:r>
              <w:rPr>
                <w:rFonts w:ascii="Inter" w:cs="Inter" w:eastAsia="Inter" w:hAnsi="Inter"/>
              </w:rPr>
              <w:t xml:space="preserve"> — Les informations liées au handicap sont des </w:t>
            </w:r>
            <w:r>
              <w:rPr>
                <w:rFonts w:ascii="Inter" w:cs="Inter" w:eastAsia="Inter" w:hAnsi="Inter"/>
                <w:b/>
                <w:bCs/>
              </w:rPr>
              <w:t xml:space="preserve">données de santé</w:t>
            </w:r>
            <w:r>
              <w:rPr>
                <w:rFonts w:ascii="Inter" w:cs="Inter" w:eastAsia="Inter" w:hAnsi="Inter"/>
              </w:rPr>
              <w:t xml:space="preserve"> (article 9 du RGPD), donc sensibles : recueil uniquement avec le </w:t>
            </w:r>
            <w:r>
              <w:rPr>
                <w:rFonts w:ascii="Inter" w:cs="Inter" w:eastAsia="Inter" w:hAnsi="Inter"/>
                <w:b/>
                <w:bCs/>
              </w:rPr>
              <w:t xml:space="preserve">consentement explicite</w:t>
            </w:r>
            <w:r>
              <w:rPr>
                <w:rFonts w:ascii="Inter" w:cs="Inter" w:eastAsia="Inter" w:hAnsi="Inter"/>
              </w:rPr>
              <w:t xml:space="preserve"> du jeune (et des représentants légaux pour un mineur), finalité limitée à la compensation, accès réservé au référent, stockage séparé et sécurisé, aucune mention de diagnostic dans le livret ou auprès de l’employeur sans accord. Une analyse d’impact (AIPD) est recommandée si le volume le justifie.</w:t>
            </w:r>
          </w:p>
          <w:p>
            <w:pPr>
              <w:spacing w:after="50"/>
              <w:jc w:val="both"/>
            </w:pPr>
            <w:r>
              <w:rPr>
                <w:rFonts w:ascii="Inter" w:cs="Inter" w:eastAsia="Inter" w:hAnsi="Inter"/>
                <w:b/>
                <w:bCs/>
              </w:rPr>
              <w:t xml:space="preserve">IA Act</w:t>
            </w:r>
            <w:r>
              <w:rPr>
                <w:rFonts w:ascii="Inter" w:cs="Inter" w:eastAsia="Inter" w:hAnsi="Inter"/>
              </w:rPr>
              <w:t xml:space="preserve"> — Les outils d’IA d’accessibilité (synthèse vocale, transcription) peuvent être proposés, à condition d’être hébergés dans l’UE et de ne pas conserver les contenus. L’IA Act interdit d’exploiter la vulnérabilité liée au handicap (article 5).</w:t>
            </w:r>
          </w:p>
        </w:tc>
      </w:tr>
    </w:tbl>
    <w:p>
      <w:pPr>
        <w:spacing w:after="80"/>
      </w:pPr>
    </w:p>
    <w:p>
      <w:pPr>
        <w:spacing w:after="80"/>
      </w:pPr>
    </w:p>
    <w:p>
      <w:pPr>
        <w:spacing w:after="120" w:line="288"/>
        <w:jc w:val="left"/>
      </w:pPr>
      <w:r>
        <w:rPr>
          <w:rFonts w:ascii="Inter" w:cs="Inter" w:eastAsia="Inter" w:hAnsi="Inter"/>
        </w:rPr>
        <w:t xml:space="preserve">Fait à Saint-Denis, le </w:t>
      </w:r>
      <w:r>
        <w:rPr>
          <w:rFonts w:ascii="Inter" w:cs="Inter" w:eastAsia="Inter" w:hAnsi="Inter"/>
          <w:b/>
          <w:bCs/>
          <w:highlight w:val="yellow"/>
          <w:highlightCs w:val="yellow"/>
        </w:rPr>
        <w:t xml:space="preserve">[date d’envoi]</w:t>
      </w:r>
      <w:r>
        <w:rPr>
          <w:rFonts w:ascii="Inter" w:cs="Inter" w:eastAsia="Inter" w:hAnsi="Inter"/>
        </w:rPr>
        <w:t xml:space="preserve">.</w:t>
      </w:r>
    </w:p>
    <w:p>
      <w:pPr>
        <w:spacing w:after="120" w:line="288"/>
        <w:jc w:val="left"/>
      </w:pPr>
      <w:r>
        <w:rPr>
          <w:rFonts w:ascii="Inter" w:cs="Inter" w:eastAsia="Inter" w:hAnsi="Inter"/>
          <w:b/>
          <w:bCs/>
        </w:rPr>
        <w:t xml:space="preserve">Aurélien LUMEKA, Directeur de YEBA FORMATIONS</w:t>
      </w:r>
    </w:p>
    <w:p>
      <w:pPr>
        <w:spacing w:after="120" w:line="288"/>
        <w:jc w:val="left"/>
      </w:pPr>
      <w:r>
        <w:rPr>
          <w:rFonts w:ascii="Inter" w:cs="Inter" w:eastAsia="Inter" w:hAnsi="Inter"/>
        </w:rPr>
        <w:t xml:space="preserve">Signature et cachet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D4D4D"/>
        <w:sz w:val="16"/>
        <w:szCs w:val="16"/>
      </w:rPr>
      <w:t xml:space="preserve">SIRET 814 622 262 00032 — NDA 04973676397 — Qualiopi 25FOR02027.1 — Page </w:t>
    </w:r>
    <w:r>
      <w:rPr>
        <w:rFonts w:ascii="Inter" w:cs="Inter" w:eastAsia="Inter" w:hAnsi="Inter"/>
        <w:color w:val="4D4D4D"/>
        <w:sz w:val="16"/>
        <w:szCs w:val="16"/>
      </w:rPr>
      <w:fldChar w:fldCharType="begin"/>
      <w:instrText xml:space="preserve">PAGE</w:instrText>
      <w:fldChar w:fldCharType="separate"/>
      <w:fldChar w:fldCharType="end"/>
    </w:r>
    <w:r>
      <w:rPr>
        <w:rFonts w:ascii="Inter" w:cs="Inter" w:eastAsia="Inter" w:hAnsi="Inter"/>
        <w:color w:val="4D4D4D"/>
        <w:sz w:val="16"/>
        <w:szCs w:val="16"/>
      </w:rPr>
      <w:t xml:space="preserve"> / </w:t>
    </w:r>
    <w:r>
      <w:rPr>
        <w:rFonts w:ascii="Inter" w:cs="Inter" w:eastAsia="Inter" w:hAnsi="Inter"/>
        <w:color w:val="4D4D4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D4D4D"/>
        <w:sz w:val="16"/>
        <w:szCs w:val="16"/>
      </w:rPr>
      <w:t xml:space="preserve">YEBA FORMATIONS — Dossier apprentissage — Pièce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B4C" w:sz="8" w:space="4"/>
      </w:pBdr>
      <w:outlineLvl w:val="0"/>
    </w:pPr>
    <w:rPr>
      <w:rFonts w:ascii="Montserrat" w:cs="Montserrat" w:eastAsia="Montserrat" w:hAnsi="Montserrat"/>
      <w:b/>
      <w:bCs/>
      <w:color w:val="1B3A6B"/>
      <w:sz w:val="28"/>
      <w:szCs w:val="28"/>
    </w:rPr>
  </w:style>
  <w:style w:type="paragraph" w:styleId="Heading2">
    <w:name w:val="Heading 2"/>
    <w:basedOn w:val="Normal"/>
    <w:next w:val="Normal"/>
    <w:qFormat/>
    <w:pPr>
      <w:outlineLvl w:val="1"/>
    </w:pPr>
    <w:rPr>
      <w:rFonts w:ascii="Montserrat" w:cs="Montserrat" w:eastAsia="Montserrat" w:hAnsi="Montserrat"/>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f6d304a608969a79b81b2dc36b32cdbc2566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Pièce 10 — Notice — Accompagnement des apprentis en situation de handicap</dc:title>
  <dc:creator>Aurélien LUMEKA</dc:creator>
  <cp:lastModifiedBy>Un-named</cp:lastModifiedBy>
  <cp:revision>1</cp:revision>
  <dcterms:created xsi:type="dcterms:W3CDTF">2026-10-30T04:06:11.059Z</dcterms:created>
  <dcterms:modified xsi:type="dcterms:W3CDTF">2026-10-30T04:06:11.059Z</dcterms:modified>
</cp:coreProperties>
</file>

<file path=docProps/custom.xml><?xml version="1.0" encoding="utf-8"?>
<Properties xmlns="http://schemas.openxmlformats.org/officeDocument/2006/custom-properties" xmlns:vt="http://schemas.openxmlformats.org/officeDocument/2006/docPropsVTypes"/>
</file>