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143000" cy="971550"/>
            <wp:effectExtent t="0" r="0" b="0" l="0"/>
            <wp:docPr id="1" name="logo" descr="Logo YEBA FORMATIONS" title="Logo YEBA FORM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971550"/>
                    </a:xfrm>
                    <a:prstGeom prst="rect">
                      <a:avLst/>
                    </a:prstGeom>
                  </pic:spPr>
                </pic:pic>
              </a:graphicData>
            </a:graphic>
          </wp:inline>
        </w:drawing>
      </w:r>
    </w:p>
    <w:p>
      <w:pPr>
        <w:pBdr>
          <w:bottom w:val="single" w:color="C9AB4C" w:sz="12" w:space="6"/>
        </w:pBdr>
        <w:spacing w:after="240"/>
      </w:pPr>
      <w:r>
        <w:rPr>
          <w:rFonts w:ascii="Inter" w:cs="Inter" w:eastAsia="Inter" w:hAnsi="Inter"/>
          <w:color w:val="4D4D4D"/>
          <w:sz w:val="20"/>
          <w:szCs w:val="20"/>
        </w:rPr>
        <w:t xml:space="preserve">Organisme de formation — Extension de la déclaration d’activité à la formation par apprentissage</w:t>
      </w:r>
    </w:p>
    <w:p>
      <w:pPr>
        <w:spacing w:after="60"/>
      </w:pPr>
      <w:r>
        <w:rPr>
          <w:rFonts w:ascii="Montserrat" w:cs="Montserrat" w:eastAsia="Montserrat" w:hAnsi="Montserrat"/>
          <w:b/>
          <w:bCs/>
          <w:color w:val="4D4D4D"/>
          <w:sz w:val="24"/>
          <w:szCs w:val="24"/>
        </w:rPr>
        <w:t xml:space="preserve">Pièce n° 14</w:t>
      </w:r>
    </w:p>
    <w:p>
      <w:pPr>
        <w:spacing w:after="160"/>
      </w:pPr>
      <w:r>
        <w:rPr>
          <w:rFonts w:ascii="Montserrat" w:cs="Montserrat" w:eastAsia="Montserrat" w:hAnsi="Montserrat"/>
          <w:b/>
          <w:bCs/>
          <w:color w:val="1B3A6B"/>
          <w:sz w:val="32"/>
          <w:szCs w:val="32"/>
        </w:rPr>
        <w:t xml:space="preserve">État descriptif — Modalités de suivi des anciens apprentis à l’issue de la première promotion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600"/>
        <w:gridCol w:w="7038"/>
      </w:tblGrid>
      <w:tr>
        <w:trPr>
          <w:tblHeader/>
        </w:trPr>
        <w:tc>
          <w:tcPr>
            <w:tcW w:type="dxa" w:w="26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Rubrique</w:t>
            </w:r>
          </w:p>
        </w:tc>
        <w:tc>
          <w:tcPr>
            <w:tcW w:type="dxa" w:w="70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Information</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Destinataire</w:t>
            </w:r>
          </w:p>
        </w:tc>
        <w:tc>
          <w:tcPr>
            <w:tcW w:type="dxa" w:w="7038"/>
            <w:tcMar>
              <w:top w:type="dxa" w:w="60"/>
              <w:left w:type="dxa" w:w="90"/>
              <w:bottom w:type="dxa" w:w="60"/>
              <w:right w:type="dxa" w:w="90"/>
            </w:tcMar>
          </w:tcPr>
          <w:p>
            <w:pPr>
              <w:spacing w:after="40"/>
              <w:jc w:val="left"/>
            </w:pPr>
            <w:r>
              <w:rPr>
                <w:rFonts w:ascii="Inter" w:cs="Inter" w:eastAsia="Inter" w:hAnsi="Inter"/>
              </w:rPr>
              <w:t xml:space="preserve">DEETS La Réunion — Service de contrôle de la formation professionnelle</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Référence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Courriel de la DEETS du 20 octobre 2026 — instruction au titre de l’article L.6351-5 du Code du travail</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Objet de la pièce</w:t>
            </w:r>
          </w:p>
        </w:tc>
        <w:tc>
          <w:tcPr>
            <w:tcW w:type="dxa" w:w="7038"/>
            <w:tcMar>
              <w:top w:type="dxa" w:w="60"/>
              <w:left w:type="dxa" w:w="90"/>
              <w:bottom w:type="dxa" w:w="60"/>
              <w:right w:type="dxa" w:w="90"/>
            </w:tcMar>
          </w:tcPr>
          <w:p>
            <w:pPr>
              <w:spacing w:after="40"/>
              <w:jc w:val="left"/>
            </w:pPr>
            <w:r>
              <w:rPr>
                <w:rFonts w:ascii="Inter" w:cs="Inter" w:eastAsia="Inter" w:hAnsi="Inter"/>
              </w:rPr>
              <w:t xml:space="preserve">Organisation du suivi des anciens apprentis après la fin de leur contrat.</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Organisme</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YEBA FORMATIONS — SIRET 814 622 262 00032 — NDA 04973676397 — UAI 9742022E</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Lieu de formation</w:t>
            </w:r>
          </w:p>
        </w:tc>
        <w:tc>
          <w:tcPr>
            <w:tcW w:type="dxa" w:w="7038"/>
            <w:tcMar>
              <w:top w:type="dxa" w:w="60"/>
              <w:left w:type="dxa" w:w="90"/>
              <w:bottom w:type="dxa" w:w="60"/>
              <w:right w:type="dxa" w:w="90"/>
            </w:tcMar>
          </w:tcPr>
          <w:p>
            <w:pPr>
              <w:spacing w:after="40"/>
              <w:jc w:val="left"/>
            </w:pPr>
            <w:r>
              <w:rPr>
                <w:rFonts w:ascii="Inter" w:cs="Inter" w:eastAsia="Inter" w:hAnsi="Inter"/>
              </w:rPr>
              <w:t xml:space="preserve">7 rue Henri Cornu, Immeuble Rodrigue 2, Technopole Réunion / Technor, 97490 Sainte-Clotilde (Saint-Denis)</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Certification Qualiopi</w:t>
            </w:r>
          </w:p>
        </w:tc>
        <w:tc>
          <w:tcPr>
            <w:tcW w:type="dxa" w:w="7038"/>
            <w:shd w:fill="EEF1F6" w:color="auto" w:val="clear"/>
            <w:tcMar>
              <w:top w:type="dxa" w:w="60"/>
              <w:left w:type="dxa" w:w="90"/>
              <w:bottom w:type="dxa" w:w="60"/>
              <w:right w:type="dxa" w:w="90"/>
            </w:tcMar>
          </w:tcPr>
          <w:p>
            <w:pPr>
              <w:spacing w:after="40"/>
              <w:jc w:val="both"/>
            </w:pPr>
            <w:r>
              <w:rPr>
                <w:rFonts w:ascii="Inter" w:cs="Inter" w:eastAsia="Inter" w:hAnsi="Inter"/>
              </w:rPr>
              <w:t xml:space="preserve">n° 25FOR02027.1 (actions de formation). Extension à la catégorie « actions de formation par apprentissage » engagée : l’audit d’extension sera réalisé dès l’entrée en formation du premier apprenti (courriel de l’organisme certificateur du 14/10/2026).</w:t>
            </w:r>
          </w:p>
        </w:tc>
      </w:tr>
      <w:tr>
        <w:trPr>
          <w:cantSplit/>
        </w:trPr>
        <w:tc>
          <w:tcPr>
            <w:tcW w:type="dxa" w:w="2600"/>
            <w:tcMar>
              <w:top w:type="dxa" w:w="60"/>
              <w:left w:type="dxa" w:w="90"/>
              <w:bottom w:type="dxa" w:w="60"/>
              <w:right w:type="dxa" w:w="90"/>
            </w:tcMar>
          </w:tcPr>
          <w:p>
            <w:pPr>
              <w:spacing w:after="40"/>
              <w:jc w:val="left"/>
            </w:pPr>
            <w:r>
              <w:rPr>
                <w:rFonts w:ascii="Inter" w:cs="Inter" w:eastAsia="Inter" w:hAnsi="Inter"/>
              </w:rPr>
              <w:t xml:space="preserve">Responsable</w:t>
            </w:r>
          </w:p>
        </w:tc>
        <w:tc>
          <w:tcPr>
            <w:tcW w:type="dxa" w:w="7038"/>
            <w:tcMar>
              <w:top w:type="dxa" w:w="60"/>
              <w:left w:type="dxa" w:w="90"/>
              <w:bottom w:type="dxa" w:w="60"/>
              <w:right w:type="dxa" w:w="90"/>
            </w:tcMar>
          </w:tcPr>
          <w:p>
            <w:pPr>
              <w:spacing w:after="40"/>
              <w:jc w:val="left"/>
            </w:pPr>
            <w:r>
              <w:rPr>
                <w:rFonts w:ascii="Inter" w:cs="Inter" w:eastAsia="Inter" w:hAnsi="Inter"/>
              </w:rPr>
              <w:t xml:space="preserve">Aurélien LUMEKA, Directeur — +262 693 32 24 45 — yebaformations@gmail.com</w:t>
            </w:r>
          </w:p>
        </w:tc>
      </w:tr>
      <w:tr>
        <w:trPr>
          <w:cantSplit/>
        </w:trPr>
        <w:tc>
          <w:tcPr>
            <w:tcW w:type="dxa" w:w="2600"/>
            <w:shd w:fill="EEF1F6" w:color="auto" w:val="clear"/>
            <w:tcMar>
              <w:top w:type="dxa" w:w="60"/>
              <w:left w:type="dxa" w:w="90"/>
              <w:bottom w:type="dxa" w:w="60"/>
              <w:right w:type="dxa" w:w="90"/>
            </w:tcMar>
          </w:tcPr>
          <w:p>
            <w:pPr>
              <w:spacing w:after="40"/>
              <w:jc w:val="left"/>
            </w:pPr>
            <w:r>
              <w:rPr>
                <w:rFonts w:ascii="Inter" w:cs="Inter" w:eastAsia="Inter" w:hAnsi="Inter"/>
              </w:rPr>
              <w:t xml:space="preserve">Version</w:t>
            </w:r>
          </w:p>
        </w:tc>
        <w:tc>
          <w:tcPr>
            <w:tcW w:type="dxa" w:w="7038"/>
            <w:shd w:fill="EEF1F6" w:color="auto" w:val="clear"/>
            <w:tcMar>
              <w:top w:type="dxa" w:w="60"/>
              <w:left w:type="dxa" w:w="90"/>
              <w:bottom w:type="dxa" w:w="60"/>
              <w:right w:type="dxa" w:w="90"/>
            </w:tcMar>
          </w:tcPr>
          <w:p>
            <w:pPr>
              <w:spacing w:after="40"/>
              <w:jc w:val="left"/>
            </w:pPr>
            <w:r>
              <w:rPr>
                <w:rFonts w:ascii="Inter" w:cs="Inter" w:eastAsia="Inter" w:hAnsi="Inter"/>
              </w:rPr>
              <w:t xml:space="preserve">Version 3 du 30/10/2026</w:t>
            </w:r>
          </w:p>
        </w:tc>
      </w:tr>
    </w:tbl>
    <w:p>
      <w:pPr>
        <w:spacing w:after="80"/>
      </w:pPr>
    </w:p>
    <w:p>
      <w:pPr>
        <w:pStyle w:val="Heading1"/>
        <w:keepNext/>
        <w:spacing w:after="140" w:before="300"/>
      </w:pPr>
      <w:r>
        <w:rPr>
          <w:rFonts w:ascii="Montserrat" w:cs="Montserrat" w:eastAsia="Montserrat" w:hAnsi="Montserrat"/>
        </w:rPr>
        <w:t xml:space="preserve">1. Calendrier de suivi</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Layout w:type="fixed"/>
      </w:tblPr>
      <w:tblGrid>
        <w:gridCol w:w="2500"/>
        <w:gridCol w:w="3300"/>
        <w:gridCol w:w="3838"/>
      </w:tblGrid>
      <w:tr>
        <w:trPr>
          <w:tblHeader/>
        </w:trPr>
        <w:tc>
          <w:tcPr>
            <w:tcW w:type="dxa" w:w="25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Échéance</w:t>
            </w:r>
          </w:p>
        </w:tc>
        <w:tc>
          <w:tcPr>
            <w:tcW w:type="dxa" w:w="3300"/>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Modalité</w:t>
            </w:r>
          </w:p>
        </w:tc>
        <w:tc>
          <w:tcPr>
            <w:tcW w:type="dxa" w:w="3838"/>
            <w:shd w:fill="1B3A6B" w:color="auto" w:val="clear"/>
            <w:tcMar>
              <w:top w:type="dxa" w:w="60"/>
              <w:left w:type="dxa" w:w="90"/>
              <w:bottom w:type="dxa" w:w="60"/>
              <w:right w:type="dxa" w:w="90"/>
            </w:tcMar>
          </w:tcPr>
          <w:p>
            <w:pPr>
              <w:spacing w:after="40"/>
              <w:jc w:val="left"/>
            </w:pPr>
            <w:r>
              <w:rPr>
                <w:rFonts w:ascii="Inter" w:cs="Inter" w:eastAsia="Inter" w:hAnsi="Inter"/>
                <w:b/>
                <w:bCs/>
                <w:color w:val="FFFFFF"/>
              </w:rPr>
              <w:t xml:space="preserve">Informations recueillies</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Fin de contrat</w:t>
            </w:r>
          </w:p>
        </w:tc>
        <w:tc>
          <w:tcPr>
            <w:tcW w:type="dxa" w:w="3300"/>
            <w:tcMar>
              <w:top w:type="dxa" w:w="60"/>
              <w:left w:type="dxa" w:w="90"/>
              <w:bottom w:type="dxa" w:w="60"/>
              <w:right w:type="dxa" w:w="90"/>
            </w:tcMar>
          </w:tcPr>
          <w:p>
            <w:pPr>
              <w:spacing w:after="40"/>
              <w:jc w:val="left"/>
            </w:pPr>
            <w:r>
              <w:rPr>
                <w:rFonts w:ascii="Inter" w:cs="Inter" w:eastAsia="Inter" w:hAnsi="Inter"/>
              </w:rPr>
              <w:t xml:space="preserve">Entretien de sortie et recueil du consentement au suivi</w:t>
            </w:r>
          </w:p>
        </w:tc>
        <w:tc>
          <w:tcPr>
            <w:tcW w:type="dxa" w:w="3838"/>
            <w:tcMar>
              <w:top w:type="dxa" w:w="60"/>
              <w:left w:type="dxa" w:w="90"/>
              <w:bottom w:type="dxa" w:w="60"/>
              <w:right w:type="dxa" w:w="90"/>
            </w:tcMar>
          </w:tcPr>
          <w:p>
            <w:pPr>
              <w:spacing w:after="40"/>
              <w:jc w:val="left"/>
            </w:pPr>
            <w:r>
              <w:rPr>
                <w:rFonts w:ascii="Inter" w:cs="Inter" w:eastAsia="Inter" w:hAnsi="Inter"/>
              </w:rPr>
              <w:t xml:space="preserve">Coordonnées de contact préférées, projet à court terme</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6 mois après la fin du contrat</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Questionnaire en ligne puis relance téléphonique</w:t>
            </w:r>
          </w:p>
        </w:tc>
        <w:tc>
          <w:tcPr>
            <w:tcW w:type="dxa" w:w="3838"/>
            <w:shd w:fill="EEF1F6" w:color="auto" w:val="clear"/>
            <w:tcMar>
              <w:top w:type="dxa" w:w="60"/>
              <w:left w:type="dxa" w:w="90"/>
              <w:bottom w:type="dxa" w:w="60"/>
              <w:right w:type="dxa" w:w="90"/>
            </w:tcMar>
          </w:tcPr>
          <w:p>
            <w:pPr>
              <w:spacing w:after="40"/>
              <w:jc w:val="left"/>
            </w:pPr>
            <w:r>
              <w:rPr>
                <w:rFonts w:ascii="Inter" w:cs="Inter" w:eastAsia="Inter" w:hAnsi="Inter"/>
              </w:rPr>
              <w:t xml:space="preserve">Situation (emploi, études, recherche, création), type de contrat, lien avec la formation, satisfaction</w:t>
            </w:r>
          </w:p>
        </w:tc>
      </w:tr>
      <w:tr>
        <w:trPr>
          <w:cantSplit/>
        </w:trPr>
        <w:tc>
          <w:tcPr>
            <w:tcW w:type="dxa" w:w="2500"/>
            <w:tcMar>
              <w:top w:type="dxa" w:w="60"/>
              <w:left w:type="dxa" w:w="90"/>
              <w:bottom w:type="dxa" w:w="60"/>
              <w:right w:type="dxa" w:w="90"/>
            </w:tcMar>
          </w:tcPr>
          <w:p>
            <w:pPr>
              <w:spacing w:after="40"/>
              <w:jc w:val="left"/>
            </w:pPr>
            <w:r>
              <w:rPr>
                <w:rFonts w:ascii="Inter" w:cs="Inter" w:eastAsia="Inter" w:hAnsi="Inter"/>
              </w:rPr>
              <w:t xml:space="preserve">12 mois après</w:t>
            </w:r>
          </w:p>
        </w:tc>
        <w:tc>
          <w:tcPr>
            <w:tcW w:type="dxa" w:w="3300"/>
            <w:tcMar>
              <w:top w:type="dxa" w:w="60"/>
              <w:left w:type="dxa" w:w="90"/>
              <w:bottom w:type="dxa" w:w="60"/>
              <w:right w:type="dxa" w:w="90"/>
            </w:tcMar>
          </w:tcPr>
          <w:p>
            <w:pPr>
              <w:spacing w:after="40"/>
              <w:jc w:val="left"/>
            </w:pPr>
            <w:r>
              <w:rPr>
                <w:rFonts w:ascii="Inter" w:cs="Inter" w:eastAsia="Inter" w:hAnsi="Inter"/>
              </w:rPr>
              <w:t xml:space="preserve">Questionnaire court</w:t>
            </w:r>
          </w:p>
        </w:tc>
        <w:tc>
          <w:tcPr>
            <w:tcW w:type="dxa" w:w="3838"/>
            <w:tcMar>
              <w:top w:type="dxa" w:w="60"/>
              <w:left w:type="dxa" w:w="90"/>
              <w:bottom w:type="dxa" w:w="60"/>
              <w:right w:type="dxa" w:w="90"/>
            </w:tcMar>
          </w:tcPr>
          <w:p>
            <w:pPr>
              <w:spacing w:after="40"/>
              <w:jc w:val="left"/>
            </w:pPr>
            <w:r>
              <w:rPr>
                <w:rFonts w:ascii="Inter" w:cs="Inter" w:eastAsia="Inter" w:hAnsi="Inter"/>
              </w:rPr>
              <w:t xml:space="preserve">Évolution de la situation</w:t>
            </w:r>
          </w:p>
        </w:tc>
      </w:tr>
      <w:tr>
        <w:trPr>
          <w:cantSplit/>
        </w:trPr>
        <w:tc>
          <w:tcPr>
            <w:tcW w:type="dxa" w:w="2500"/>
            <w:shd w:fill="EEF1F6" w:color="auto" w:val="clear"/>
            <w:tcMar>
              <w:top w:type="dxa" w:w="60"/>
              <w:left w:type="dxa" w:w="90"/>
              <w:bottom w:type="dxa" w:w="60"/>
              <w:right w:type="dxa" w:w="90"/>
            </w:tcMar>
          </w:tcPr>
          <w:p>
            <w:pPr>
              <w:spacing w:after="40"/>
              <w:jc w:val="left"/>
            </w:pPr>
            <w:r>
              <w:rPr>
                <w:rFonts w:ascii="Inter" w:cs="Inter" w:eastAsia="Inter" w:hAnsi="Inter"/>
              </w:rPr>
              <w:t xml:space="preserve">24 mois après</w:t>
            </w:r>
          </w:p>
        </w:tc>
        <w:tc>
          <w:tcPr>
            <w:tcW w:type="dxa" w:w="3300"/>
            <w:shd w:fill="EEF1F6" w:color="auto" w:val="clear"/>
            <w:tcMar>
              <w:top w:type="dxa" w:w="60"/>
              <w:left w:type="dxa" w:w="90"/>
              <w:bottom w:type="dxa" w:w="60"/>
              <w:right w:type="dxa" w:w="90"/>
            </w:tcMar>
          </w:tcPr>
          <w:p>
            <w:pPr>
              <w:spacing w:after="40"/>
              <w:jc w:val="left"/>
            </w:pPr>
            <w:r>
              <w:rPr>
                <w:rFonts w:ascii="Inter" w:cs="Inter" w:eastAsia="Inter" w:hAnsi="Inter"/>
              </w:rPr>
              <w:t xml:space="preserve">Questionnaire court (facultatif)</w:t>
            </w:r>
          </w:p>
        </w:tc>
        <w:tc>
          <w:tcPr>
            <w:tcW w:type="dxa" w:w="3838"/>
            <w:shd w:fill="EEF1F6" w:color="auto" w:val="clear"/>
            <w:tcMar>
              <w:top w:type="dxa" w:w="60"/>
              <w:left w:type="dxa" w:w="90"/>
              <w:bottom w:type="dxa" w:w="60"/>
              <w:right w:type="dxa" w:w="90"/>
            </w:tcMar>
          </w:tcPr>
          <w:p>
            <w:pPr>
              <w:spacing w:after="40"/>
              <w:jc w:val="left"/>
            </w:pPr>
            <w:r>
              <w:rPr>
                <w:rFonts w:ascii="Inter" w:cs="Inter" w:eastAsia="Inter" w:hAnsi="Inter"/>
              </w:rPr>
              <w:t xml:space="preserve">Évolution professionnelle</w:t>
            </w:r>
          </w:p>
        </w:tc>
      </w:tr>
    </w:tbl>
    <w:p>
      <w:pPr>
        <w:spacing w:after="80"/>
      </w:pPr>
    </w:p>
    <w:p>
      <w:pPr>
        <w:pStyle w:val="Heading1"/>
        <w:keepNext/>
        <w:spacing w:after="140" w:before="300"/>
      </w:pPr>
      <w:r>
        <w:rPr>
          <w:rFonts w:ascii="Montserrat" w:cs="Montserrat" w:eastAsia="Montserrat" w:hAnsi="Montserrat"/>
        </w:rPr>
        <w:t xml:space="preserve">2. Réseau des anciens</w:t>
      </w:r>
    </w:p>
    <w:p>
      <w:pPr>
        <w:pStyle w:val="ListParagraph"/>
        <w:numPr>
          <w:ilvl w:val="0"/>
          <w:numId w:val="2"/>
        </w:numPr>
        <w:spacing w:after="60" w:line="276"/>
        <w:jc w:val="both"/>
      </w:pPr>
      <w:r>
        <w:rPr>
          <w:rFonts w:ascii="Inter" w:cs="Inter" w:eastAsia="Inter" w:hAnsi="Inter"/>
        </w:rPr>
        <w:t xml:space="preserve">Rencontre annuelle des anciens et des apprentis en cours (témoignages, mises en relation).</w:t>
      </w:r>
    </w:p>
    <w:p>
      <w:pPr>
        <w:pStyle w:val="ListParagraph"/>
        <w:numPr>
          <w:ilvl w:val="0"/>
          <w:numId w:val="2"/>
        </w:numPr>
        <w:spacing w:after="60" w:line="276"/>
        <w:jc w:val="both"/>
      </w:pPr>
      <w:r>
        <w:rPr>
          <w:rFonts w:ascii="Inter" w:cs="Inter" w:eastAsia="Inter" w:hAnsi="Inter"/>
        </w:rPr>
        <w:t xml:space="preserve">Sollicitation des anciens comme témoins lors des réunions d’information et des job dating.</w:t>
      </w:r>
    </w:p>
    <w:p>
      <w:pPr>
        <w:pStyle w:val="ListParagraph"/>
        <w:numPr>
          <w:ilvl w:val="0"/>
          <w:numId w:val="2"/>
        </w:numPr>
        <w:spacing w:after="60" w:line="276"/>
        <w:jc w:val="both"/>
      </w:pPr>
      <w:r>
        <w:rPr>
          <w:rFonts w:ascii="Inter" w:cs="Inter" w:eastAsia="Inter" w:hAnsi="Inter"/>
        </w:rPr>
        <w:t xml:space="preserve">Accès des anciens aux offres d’emploi transmises par les entreprises partenaires.</w:t>
      </w:r>
    </w:p>
    <w:p>
      <w:pPr>
        <w:pStyle w:val="ListParagraph"/>
        <w:numPr>
          <w:ilvl w:val="0"/>
          <w:numId w:val="2"/>
        </w:numPr>
        <w:spacing w:after="60" w:line="276"/>
        <w:jc w:val="both"/>
      </w:pPr>
      <w:r>
        <w:rPr>
          <w:rFonts w:ascii="Inter" w:cs="Inter" w:eastAsia="Inter" w:hAnsi="Inter"/>
        </w:rPr>
        <w:t xml:space="preserve">Possibilité pour les anciens devenus salariés de devenir à leur tour maîtres d’apprentissage, après formation (pièce n° 17).</w:t>
      </w:r>
    </w:p>
    <w:p>
      <w:pPr>
        <w:pStyle w:val="Heading1"/>
        <w:keepNext/>
        <w:spacing w:after="140" w:before="300"/>
      </w:pPr>
      <w:r>
        <w:rPr>
          <w:rFonts w:ascii="Montserrat" w:cs="Montserrat" w:eastAsia="Montserrat" w:hAnsi="Montserrat"/>
        </w:rPr>
        <w:t xml:space="preserve">3. Exploitation des résultats</w:t>
      </w:r>
    </w:p>
    <w:p>
      <w:pPr>
        <w:spacing w:after="120" w:line="288"/>
        <w:jc w:val="both"/>
      </w:pPr>
      <w:r>
        <w:rPr>
          <w:rFonts w:ascii="Inter" w:cs="Inter" w:eastAsia="Inter" w:hAnsi="Inter"/>
        </w:rPr>
        <w:t xml:space="preserve">Les résultats sont analysés chaque année par la direction et l’équipe pédagogique pour faire évoluer les contenus de formation, le ciblage des entreprises et l’accompagnement. Ils alimentent les indicateurs publiés (pièce n° 13) et la démarche d’amélioration continue Qualiopi.</w:t>
      </w:r>
    </w:p>
    <w:tbl>
      <w:tblPr>
        <w:tblW w:type="dxa" w:w="9638"/>
        <w:tblBorders>
          <w:top w:val="none" w:color="FFFFFF" w:sz="0"/>
          <w:left w:val="single" w:color="1B3A6B" w:sz="12"/>
          <w:bottom w:val="none" w:color="FFFFFF" w:sz="0"/>
          <w:right w:val="none" w:color="FFFFFF" w:sz="0"/>
          <w:insideH w:val="none" w:color="FFFFFF" w:sz="0"/>
          <w:insideV w:val="none" w:color="FFFFFF" w:sz="0"/>
        </w:tblBorders>
      </w:tblPr>
      <w:tblGrid>
        <w:gridCol w:w="9638"/>
      </w:tblGrid>
      <w:tr>
        <w:tc>
          <w:tcPr>
            <w:tcW w:type="dxa" w:w="9638"/>
            <w:shd w:fill="EEF1F6" w:color="auto" w:val="clear"/>
            <w:tcMar>
              <w:top w:type="dxa" w:w="100"/>
              <w:left w:type="dxa" w:w="160"/>
              <w:bottom w:type="dxa" w:w="100"/>
              <w:right w:type="dxa" w:w="120"/>
            </w:tcMar>
          </w:tcPr>
          <w:p>
            <w:pPr>
              <w:spacing w:after="60"/>
            </w:pPr>
            <w:r>
              <w:rPr>
                <w:rFonts w:ascii="Montserrat" w:cs="Montserrat" w:eastAsia="Montserrat" w:hAnsi="Montserrat"/>
                <w:b/>
                <w:bCs/>
                <w:color w:val="1B3A6B"/>
              </w:rPr>
              <w:t xml:space="preserve">Conformité RGPD / IA Act</w:t>
            </w:r>
          </w:p>
          <w:p>
            <w:pPr>
              <w:spacing w:after="50"/>
              <w:jc w:val="both"/>
            </w:pPr>
            <w:r>
              <w:rPr>
                <w:rFonts w:ascii="Inter" w:cs="Inter" w:eastAsia="Inter" w:hAnsi="Inter"/>
                <w:b/>
                <w:bCs/>
              </w:rPr>
              <w:t xml:space="preserve">RGPD</w:t>
            </w:r>
            <w:r>
              <w:rPr>
                <w:rFonts w:ascii="Inter" w:cs="Inter" w:eastAsia="Inter" w:hAnsi="Inter"/>
              </w:rPr>
              <w:t xml:space="preserve"> — Le suivi des anciens repose sur leur </w:t>
            </w:r>
            <w:r>
              <w:rPr>
                <w:rFonts w:ascii="Inter" w:cs="Inter" w:eastAsia="Inter" w:hAnsi="Inter"/>
                <w:b/>
                <w:bCs/>
              </w:rPr>
              <w:t xml:space="preserve">consentement</w:t>
            </w:r>
            <w:r>
              <w:rPr>
                <w:rFonts w:ascii="Inter" w:cs="Inter" w:eastAsia="Inter" w:hAnsi="Inter"/>
              </w:rPr>
              <w:t xml:space="preserve">, recueilli à la fin du contrat et retirable à tout moment. Les données sont limitées à la situation professionnelle. Conservation : jusqu’à la dernière enquête (24 mois) puis anonymisation pour les statistiques.</w:t>
            </w:r>
          </w:p>
          <w:p>
            <w:pPr>
              <w:spacing w:after="50"/>
              <w:jc w:val="both"/>
            </w:pPr>
            <w:r>
              <w:rPr>
                <w:rFonts w:ascii="Inter" w:cs="Inter" w:eastAsia="Inter" w:hAnsi="Inter"/>
              </w:rPr>
              <w:t xml:space="preserve">Outil de questionnaire hébergé dans l’UE (</w:t>
            </w:r>
            <w:r>
              <w:rPr>
                <w:rFonts w:ascii="Inter" w:cs="Inter" w:eastAsia="Inter" w:hAnsi="Inter"/>
                <w:b/>
                <w:bCs/>
                <w:highlight w:val="yellow"/>
                <w:highlightCs w:val="yellow"/>
              </w:rPr>
              <w:t xml:space="preserve">[par exemple LimeSurvey en hébergement européen ou Framaforms]</w:t>
            </w:r>
            <w:r>
              <w:rPr>
                <w:rFonts w:ascii="Inter" w:cs="Inter" w:eastAsia="Inter" w:hAnsi="Inter"/>
              </w:rPr>
              <w:t xml:space="preserve">).</w:t>
            </w:r>
          </w:p>
        </w:tc>
      </w:tr>
    </w:tbl>
    <w:p>
      <w:pPr>
        <w:spacing w:after="80"/>
      </w:pPr>
    </w:p>
    <w:p>
      <w:pPr>
        <w:spacing w:after="80"/>
      </w:pPr>
    </w:p>
    <w:p>
      <w:pPr>
        <w:spacing w:after="120" w:line="288"/>
        <w:jc w:val="left"/>
      </w:pPr>
      <w:r>
        <w:rPr>
          <w:rFonts w:ascii="Inter" w:cs="Inter" w:eastAsia="Inter" w:hAnsi="Inter"/>
        </w:rPr>
        <w:t xml:space="preserve">Fait à Saint-Denis, le </w:t>
      </w:r>
      <w:r>
        <w:rPr>
          <w:rFonts w:ascii="Inter" w:cs="Inter" w:eastAsia="Inter" w:hAnsi="Inter"/>
          <w:b/>
          <w:bCs/>
          <w:highlight w:val="yellow"/>
          <w:highlightCs w:val="yellow"/>
        </w:rPr>
        <w:t xml:space="preserve">[date d’envoi]</w:t>
      </w:r>
      <w:r>
        <w:rPr>
          <w:rFonts w:ascii="Inter" w:cs="Inter" w:eastAsia="Inter" w:hAnsi="Inter"/>
        </w:rPr>
        <w:t xml:space="preserve">.</w:t>
      </w:r>
    </w:p>
    <w:p>
      <w:pPr>
        <w:spacing w:after="120" w:line="288"/>
        <w:jc w:val="left"/>
      </w:pPr>
      <w:r>
        <w:rPr>
          <w:rFonts w:ascii="Inter" w:cs="Inter" w:eastAsia="Inter" w:hAnsi="Inter"/>
          <w:b/>
          <w:bCs/>
        </w:rPr>
        <w:t xml:space="preserve">Aurélien LUMEKA, Directeur de YEBA FORMATIONS</w:t>
      </w:r>
    </w:p>
    <w:p>
      <w:pPr>
        <w:spacing w:after="120" w:line="288"/>
        <w:jc w:val="left"/>
      </w:pPr>
      <w:r>
        <w:rPr>
          <w:rFonts w:ascii="Inter" w:cs="Inter" w:eastAsia="Inter" w:hAnsi="Inter"/>
        </w:rPr>
        <w:t xml:space="preserve">Signature et cachet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4D4D4D"/>
        <w:sz w:val="16"/>
        <w:szCs w:val="16"/>
      </w:rPr>
      <w:t xml:space="preserve">SIRET 814 622 262 00032 — NDA 04973676397 — Qualiopi 25FOR02027.1 — Page </w:t>
    </w:r>
    <w:r>
      <w:rPr>
        <w:rFonts w:ascii="Inter" w:cs="Inter" w:eastAsia="Inter" w:hAnsi="Inter"/>
        <w:color w:val="4D4D4D"/>
        <w:sz w:val="16"/>
        <w:szCs w:val="16"/>
      </w:rPr>
      <w:fldChar w:fldCharType="begin"/>
      <w:instrText xml:space="preserve">PAGE</w:instrText>
      <w:fldChar w:fldCharType="separate"/>
      <w:fldChar w:fldCharType="end"/>
    </w:r>
    <w:r>
      <w:rPr>
        <w:rFonts w:ascii="Inter" w:cs="Inter" w:eastAsia="Inter" w:hAnsi="Inter"/>
        <w:color w:val="4D4D4D"/>
        <w:sz w:val="16"/>
        <w:szCs w:val="16"/>
      </w:rPr>
      <w:t xml:space="preserve"> / </w:t>
    </w:r>
    <w:r>
      <w:rPr>
        <w:rFonts w:ascii="Inter" w:cs="Inter" w:eastAsia="Inter" w:hAnsi="Inter"/>
        <w:color w:val="4D4D4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4D4D4D"/>
        <w:sz w:val="16"/>
        <w:szCs w:val="16"/>
      </w:rPr>
      <w:t xml:space="preserve">YEBA FORMATIONS — Dossier apprentissage — Pièce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212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B4C" w:sz="8" w:space="4"/>
      </w:pBdr>
      <w:outlineLvl w:val="0"/>
    </w:pPr>
    <w:rPr>
      <w:rFonts w:ascii="Montserrat" w:cs="Montserrat" w:eastAsia="Montserrat" w:hAnsi="Montserrat"/>
      <w:b/>
      <w:bCs/>
      <w:color w:val="1B3A6B"/>
      <w:sz w:val="28"/>
      <w:szCs w:val="28"/>
    </w:rPr>
  </w:style>
  <w:style w:type="paragraph" w:styleId="Heading2">
    <w:name w:val="Heading 2"/>
    <w:basedOn w:val="Normal"/>
    <w:next w:val="Normal"/>
    <w:qFormat/>
    <w:pPr>
      <w:outlineLvl w:val="1"/>
    </w:pPr>
    <w:rPr>
      <w:rFonts w:ascii="Montserrat" w:cs="Montserrat" w:eastAsia="Montserrat" w:hAnsi="Montserrat"/>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f6d304a608969a79b81b2dc36b32cdbc25660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YEBA FORMATIONS — Pièce 14 — État descriptif — Modalités de suivi des anciens apprentis à l’issue de la première promotion</dc:title>
  <dc:creator>Aurélien LUMEKA</dc:creator>
  <cp:lastModifiedBy>Un-named</cp:lastModifiedBy>
  <cp:revision>1</cp:revision>
  <dcterms:created xsi:type="dcterms:W3CDTF">2026-10-30T04:06:11.361Z</dcterms:created>
  <dcterms:modified xsi:type="dcterms:W3CDTF">2026-10-30T04:06:11.361Z</dcterms:modified>
</cp:coreProperties>
</file>

<file path=docProps/custom.xml><?xml version="1.0" encoding="utf-8"?>
<Properties xmlns="http://schemas.openxmlformats.org/officeDocument/2006/custom-properties" xmlns:vt="http://schemas.openxmlformats.org/officeDocument/2006/docPropsVTypes"/>
</file>